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Default Extension="png" ContentType="image/png"/>
  <Default Extension="bin" ContentType="application/vnd.openxmlformats-officedocument.oleObject"/>
  <Default Extension="wmf" ContentType="image/x-wmf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ЗВІТ</w:t>
      </w:r>
      <w:r>
        <w:rPr>
          <w:b/>
          <w:bCs/>
          <w:sz w:val="28"/>
          <w:szCs w:val="28"/>
          <w:lang w:val="uk-UA"/>
        </w:rPr>
        <w:br/>
      </w:r>
      <w:r>
        <w:rPr>
          <w:b/>
          <w:bCs/>
          <w:sz w:val="28"/>
          <w:szCs w:val="28"/>
          <w:lang w:val="uk-UA"/>
        </w:rPr>
        <w:t xml:space="preserve">ПРО РЕЗУЛЬТАТИ ДІЯЛЬНОСТІ </w:t>
      </w:r>
      <w:r>
        <w:rPr>
          <w:b/>
          <w:bCs/>
          <w:sz w:val="28"/>
          <w:szCs w:val="28"/>
          <w:lang w:val="uk-UA"/>
        </w:rPr>
        <w:t xml:space="preserve">ЧЕРНІГІВ</w:t>
      </w:r>
      <w:r>
        <w:rPr>
          <w:b/>
          <w:bCs/>
          <w:sz w:val="28"/>
          <w:szCs w:val="28"/>
          <w:lang w:val="uk-UA"/>
        </w:rPr>
        <w:t xml:space="preserve">СЬКОЇ </w:t>
      </w:r>
      <w:r>
        <w:rPr>
          <w:b/>
          <w:bCs/>
          <w:sz w:val="28"/>
          <w:szCs w:val="28"/>
        </w:rPr>
        <w:t xml:space="preserve">ОБЛАСНОЇ </w:t>
      </w:r>
      <w:r>
        <w:rPr>
          <w:b/>
          <w:bCs/>
          <w:sz w:val="28"/>
          <w:szCs w:val="28"/>
          <w:lang w:val="uk-UA"/>
        </w:rPr>
        <w:t xml:space="preserve">ДЕРЖАВНОЇ </w:t>
      </w:r>
      <w:r>
        <w:rPr>
          <w:b/>
          <w:bCs/>
          <w:sz w:val="28"/>
          <w:szCs w:val="28"/>
        </w:rPr>
        <w:t xml:space="preserve">АДМІНІСТРАЦІЇ</w:t>
      </w:r>
      <w:r>
        <w:t xml:space="preserve"> </w:t>
      </w:r>
      <w:r>
        <w:rPr>
          <w:b/>
          <w:bCs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за 202</w:t>
      </w:r>
      <w:r>
        <w:rPr>
          <w:b/>
          <w:bCs/>
          <w:sz w:val="28"/>
          <w:szCs w:val="28"/>
          <w:lang w:val="uk-UA"/>
        </w:rPr>
        <w:t xml:space="preserve">5</w:t>
      </w:r>
      <w:r>
        <w:rPr>
          <w:b/>
          <w:bCs/>
          <w:sz w:val="28"/>
          <w:szCs w:val="28"/>
          <w:lang w:val="uk-UA"/>
        </w:rPr>
        <w:t xml:space="preserve"> рік</w:t>
      </w:r>
      <w:r>
        <w:rPr>
          <w:b/>
          <w:bCs/>
          <w:sz w:val="28"/>
          <w:szCs w:val="28"/>
          <w:lang w:val="uk-UA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7773"/>
        <w:gridCol w:w="1145"/>
      </w:tblGrid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І.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ВІДКРИТІСТЬ І ДОСТУПНІСТЬ ДІЯЛЬНОСТІ ВЛАДИ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Інформаційна діяльність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2-3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Взаємодія з громадським сектором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4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Розгляд звернень громад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ян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4-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6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Організаційно-кадрові питання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6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II.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БЕЗПЕКА РЕГІОНУ ТА ЦИВІЛЬНИЙ ЗАХИСТ НАСЕЛЕННЯ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ІІІ.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СПІВПРАЦЯ З ОРГАНАМИ МІСЦЕВОГО САМОВРЯДУВАННЯ</w:t>
            </w:r>
            <w:r>
              <w:rPr>
                <w:rFonts w:eastAsia="Calibri"/>
                <w:b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10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IV.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БЮДЖЕТНА СФЕРА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10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V.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ЕКОНОМІКА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Промисловість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1-12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Інвестиційна діяльність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Зовнішньоекономічна діяльність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4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Підтримка підприємництва</w:t>
            </w:r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14-1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VI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РИНОК ПРАЦІ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6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VI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І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ВЕТЕРАНСЬКА ПОЛІТИКА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VI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ІІ.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СОЦІАЛЬНА ПОЛІТИКА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Соціальний захист населення та пенсійне забезпечення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Соціальний захист внутрішньо переміщених осіб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Соціальний захист дітей та багатодітних родин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Попередження насильства в сім’ї</w:t>
            </w:r>
            <w:r>
              <w:rPr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IX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ОСВІТА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ОХОРОНА ЗДОРОВ’Я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МОЛОДЬ І СПОРТ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8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>
          <w:trHeight w:val="235"/>
        </w:trPr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КУЛЬТУРА ТА НАЦІОНАЛЬНО-ПАТРІОТИЧНЕ ВИХОВАННЯ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8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XI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</w:rPr>
              <w:t xml:space="preserve">ЦИФРОВА ТРАНСФОРМАЦІЯ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, ЗВʼЯЗОК</w:t>
            </w:r>
            <w:r>
              <w:rPr>
                <w:rFonts w:eastAsia="Calibri"/>
                <w:sz w:val="28"/>
                <w:szCs w:val="28"/>
              </w:rPr>
              <w:t xml:space="preserve"> ТА РОЗВИТОК СИСТЕМИ НАДАННЯ АДМІНІСТРАТИВНИХ ПОСЛУГ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9-31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IV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АГРАРНИЙ КОМПЛЕКС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31-32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V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ЖИТЛОВО-КОМУНАЛЬНЕ ГОСПОДАРСТВО, ЕНЕРГОЕФЕКТИВНІСТЬ,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ТРАНСПОРТ 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2-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XV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ДОРОЖНЯ ІНФРАСТРУКТУРА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4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VI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ЕКОЛОГІЯ ТА ПРИРОДНІ РЕСУРСИ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4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XV</w:t>
            </w:r>
            <w:r>
              <w:rPr>
                <w:rFonts w:eastAsia="Calibri"/>
                <w:sz w:val="28"/>
                <w:szCs w:val="28"/>
                <w:lang w:val="en-US"/>
              </w:rPr>
              <w:t xml:space="preserve">III</w:t>
            </w:r>
            <w:r>
              <w:rPr>
                <w:rFonts w:eastAsia="Calibri"/>
                <w:sz w:val="28"/>
                <w:szCs w:val="28"/>
                <w:lang w:val="uk-UA"/>
              </w:rPr>
              <w:t xml:space="preserve">.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РУЙНУВАННЯ ТА ВІДНОВЛЕННЯ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35-39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Об’єкти житлового фонду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Об’єкти соціальної інфраструктури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35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36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Об᾿єкти бізнесу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36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Об᾿єкти сфери житлово-комунального господарства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Державні кошти на відновлення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37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8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shd w:val="clear" w:color="auto" w:fill="auto"/>
            <w:tcBorders/>
            <w:tcW w:w="97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7773" w:type="dxa"/>
            <w:textDirection w:val="lrTb"/>
            <w:noWrap w:val="false"/>
          </w:tcPr>
          <w:p>
            <w:pPr>
              <w:pBdr/>
              <w:spacing/>
              <w:ind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Міжнародне співробітництво та міжнародна технічна допомога</w:t>
            </w:r>
            <w:r>
              <w:rPr>
                <w:rFonts w:eastAsia="Calibri"/>
                <w:sz w:val="28"/>
                <w:szCs w:val="28"/>
                <w:lang w:val="uk-UA"/>
              </w:rPr>
            </w:r>
          </w:p>
        </w:tc>
        <w:tc>
          <w:tcPr>
            <w:shd w:val="clear" w:color="auto" w:fill="auto"/>
            <w:tcBorders/>
            <w:tcW w:w="1145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eastAsia="Calibri"/>
                <w:bCs/>
                <w:sz w:val="28"/>
                <w:szCs w:val="28"/>
                <w:lang w:val="uk-UA"/>
              </w:rPr>
            </w:pP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8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-3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  <w:t xml:space="preserve">9</w:t>
            </w:r>
            <w:r>
              <w:rPr>
                <w:rFonts w:eastAsia="Calibri"/>
                <w:bCs/>
                <w:sz w:val="28"/>
                <w:szCs w:val="28"/>
                <w:lang w:val="uk-UA"/>
              </w:rPr>
            </w:r>
          </w:p>
        </w:tc>
      </w:tr>
    </w:tbl>
    <w:p>
      <w:pPr>
        <w:pBdr/>
        <w:spacing w:after="120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 w:clear="all"/>
      </w:r>
      <w:r>
        <w:rPr>
          <w:b/>
          <w:sz w:val="28"/>
          <w:szCs w:val="28"/>
          <w:lang w:val="uk-UA"/>
        </w:rPr>
        <w:t xml:space="preserve">І. </w:t>
      </w:r>
      <w:r>
        <w:rPr>
          <w:b/>
          <w:bCs/>
          <w:sz w:val="28"/>
          <w:szCs w:val="28"/>
          <w:lang w:val="uk-UA"/>
        </w:rPr>
        <w:t xml:space="preserve">ВІДКРИТІСТЬ</w:t>
      </w:r>
      <w:r>
        <w:rPr>
          <w:b/>
          <w:sz w:val="28"/>
          <w:szCs w:val="28"/>
          <w:lang w:val="uk-UA"/>
        </w:rPr>
        <w:t xml:space="preserve"> І ДОСТУПНІСТЬ ДІЯЛЬНОСТІ ВЛАДИ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Інформаційна діяльність</w:t>
      </w:r>
      <w:r>
        <w:rPr>
          <w:b/>
          <w:bCs/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Чернігівська обласна державна </w:t>
      </w:r>
      <w:r>
        <w:rPr>
          <w:sz w:val="28"/>
          <w:szCs w:val="28"/>
          <w:lang w:val="uk-UA" w:eastAsia="uk-UA"/>
        </w:rPr>
        <w:t xml:space="preserve">адміністрація </w:t>
      </w:r>
      <w:r>
        <w:rPr>
          <w:sz w:val="28"/>
          <w:szCs w:val="28"/>
          <w:lang w:val="en-US" w:eastAsia="uk-UA"/>
        </w:rPr>
        <w:t xml:space="preserve">(</w:t>
      </w:r>
      <w:r>
        <w:rPr>
          <w:sz w:val="28"/>
          <w:szCs w:val="28"/>
          <w:lang w:val="uk-UA" w:eastAsia="uk-UA"/>
        </w:rPr>
        <w:t xml:space="preserve">далі – обласна державна адміністрація) </w:t>
      </w:r>
      <w:r>
        <w:rPr>
          <w:sz w:val="28"/>
          <w:szCs w:val="28"/>
          <w:lang w:val="uk-UA" w:eastAsia="uk-UA"/>
        </w:rPr>
        <w:t xml:space="preserve">здійснює роботу з дотриманням, зокрема, принципів публічності та врахування громадської думки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 w:eastAsia="uk-UA"/>
        </w:rPr>
        <w:t xml:space="preserve">підтримує та вдосконалює</w:t>
      </w:r>
      <w:r>
        <w:rPr>
          <w:sz w:val="28"/>
          <w:szCs w:val="28"/>
          <w:lang w:val="uk-UA" w:eastAsia="uk-UA"/>
        </w:rPr>
        <w:t xml:space="preserve"> конструктивну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співпрацю з іншими органами державної влади та місцевого самоврядування,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медіа та громадськістю. У своїй діяльності забезпечує принцип відкритості.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звітному періоді ж</w:t>
      </w:r>
      <w:r>
        <w:rPr>
          <w:sz w:val="28"/>
          <w:szCs w:val="28"/>
          <w:lang w:val="uk-UA" w:eastAsia="uk-UA"/>
        </w:rPr>
        <w:t xml:space="preserve">одному медіа не було відмовлено в отриманні коментаря посадових осіб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обласної </w:t>
      </w:r>
      <w:r>
        <w:rPr>
          <w:sz w:val="28"/>
          <w:szCs w:val="28"/>
          <w:lang w:val="uk-UA" w:eastAsia="uk-UA"/>
        </w:rPr>
        <w:t xml:space="preserve">державної </w:t>
      </w:r>
      <w:r>
        <w:rPr>
          <w:sz w:val="28"/>
          <w:szCs w:val="28"/>
          <w:lang w:val="uk-UA" w:eastAsia="uk-UA"/>
        </w:rPr>
        <w:t xml:space="preserve">адміністрації чи участі в організованих нею заходах (</w:t>
      </w:r>
      <w:r>
        <w:rPr>
          <w:sz w:val="28"/>
          <w:szCs w:val="28"/>
          <w:lang w:val="uk-UA" w:eastAsia="uk-UA"/>
        </w:rPr>
        <w:t xml:space="preserve">з урахуванням обмежень воєнного часу). Інформування про поточну ситуацію в області та діяльність обласної державної адміністрації здійсню</w:t>
      </w:r>
      <w:r>
        <w:rPr>
          <w:sz w:val="28"/>
          <w:szCs w:val="28"/>
          <w:lang w:val="uk-UA" w:eastAsia="uk-UA"/>
        </w:rPr>
        <w:t xml:space="preserve">вал</w:t>
      </w:r>
      <w:r>
        <w:rPr>
          <w:sz w:val="28"/>
          <w:szCs w:val="28"/>
          <w:lang w:val="uk-UA" w:eastAsia="uk-UA"/>
        </w:rPr>
        <w:t xml:space="preserve">о</w:t>
      </w:r>
      <w:r>
        <w:rPr>
          <w:sz w:val="28"/>
          <w:szCs w:val="28"/>
          <w:lang w:val="uk-UA" w:eastAsia="uk-UA"/>
        </w:rPr>
        <w:t xml:space="preserve">ся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шляхом</w:t>
      </w:r>
      <w:r>
        <w:rPr>
          <w:sz w:val="28"/>
          <w:szCs w:val="28"/>
          <w:lang w:val="uk-UA" w:eastAsia="uk-UA"/>
        </w:rPr>
        <w:t xml:space="preserve"> наповнення офіційного вебсайту та сторінок у соціальних мережах, під час публічних заходів, у коментарях та інтерв’ю посадових осіб для регіональних, національних, а також міжнародних медіа </w:t>
      </w:r>
      <w:r>
        <w:rPr>
          <w:sz w:val="28"/>
          <w:szCs w:val="28"/>
          <w:lang w:val="uk-UA" w:eastAsia="uk-UA"/>
        </w:rPr>
        <w:t xml:space="preserve">(</w:t>
      </w:r>
      <w:r>
        <w:rPr>
          <w:sz w:val="28"/>
          <w:szCs w:val="28"/>
          <w:lang w:val="uk-UA" w:eastAsia="uk-UA"/>
        </w:rPr>
        <w:t xml:space="preserve">у тому числі під час включень </w:t>
      </w:r>
      <w:r>
        <w:rPr>
          <w:sz w:val="28"/>
          <w:szCs w:val="28"/>
          <w:lang w:val="uk-UA" w:eastAsia="uk-UA"/>
        </w:rPr>
        <w:t xml:space="preserve">до</w:t>
      </w:r>
      <w:r>
        <w:rPr>
          <w:sz w:val="28"/>
          <w:szCs w:val="28"/>
          <w:lang w:val="uk-UA" w:eastAsia="uk-UA"/>
        </w:rPr>
        <w:t xml:space="preserve"> прям</w:t>
      </w:r>
      <w:r>
        <w:rPr>
          <w:sz w:val="28"/>
          <w:szCs w:val="28"/>
          <w:lang w:val="uk-UA" w:eastAsia="uk-UA"/>
        </w:rPr>
        <w:t xml:space="preserve">ого</w:t>
      </w:r>
      <w:r>
        <w:rPr>
          <w:sz w:val="28"/>
          <w:szCs w:val="28"/>
          <w:lang w:val="uk-UA" w:eastAsia="uk-UA"/>
        </w:rPr>
        <w:t xml:space="preserve"> ефір</w:t>
      </w:r>
      <w:r>
        <w:rPr>
          <w:sz w:val="28"/>
          <w:szCs w:val="28"/>
          <w:lang w:val="uk-UA" w:eastAsia="uk-UA"/>
        </w:rPr>
        <w:t xml:space="preserve">у</w:t>
      </w:r>
      <w:r>
        <w:rPr>
          <w:sz w:val="28"/>
          <w:szCs w:val="28"/>
          <w:lang w:val="uk-UA" w:eastAsia="uk-UA"/>
        </w:rPr>
        <w:t xml:space="preserve">)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</w:t>
      </w:r>
      <w:r>
        <w:rPr>
          <w:sz w:val="28"/>
          <w:szCs w:val="28"/>
          <w:lang w:val="uk-UA" w:eastAsia="uk-UA"/>
        </w:rPr>
        <w:t xml:space="preserve">абезпечено регулярну роботу офіційного медіацентру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Чернігівської обласної </w:t>
      </w:r>
      <w:r>
        <w:rPr>
          <w:sz w:val="28"/>
          <w:szCs w:val="28"/>
          <w:lang w:val="uk-UA" w:eastAsia="uk-UA"/>
        </w:rPr>
        <w:t xml:space="preserve">державної</w:t>
      </w:r>
      <w:r>
        <w:rPr>
          <w:sz w:val="28"/>
          <w:szCs w:val="28"/>
          <w:lang w:val="uk-UA" w:eastAsia="uk-UA"/>
        </w:rPr>
        <w:t xml:space="preserve"> адміністрації як майданчика для ефективної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комунікації з місцевими медіа та платформи для поширення достовірної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інформації про актуальні питання відновлення, розвитку, життєдіяльності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області, підтримку з боку іноземних партнерів, напрями державної та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регіональної політики.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 році на базі медіацентру проведено 68 брифінгів за участю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представників обласної державної адміністрації та її структурних підрозділів,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інших державних органів, медиків, освітян, правоохоронців, енергетиків,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представників інститутів громадянського суспільства, залучених експертів з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різних галузей, </w:t>
      </w:r>
      <w:r>
        <w:rPr>
          <w:sz w:val="28"/>
          <w:szCs w:val="28"/>
          <w:lang w:val="uk-UA" w:eastAsia="uk-UA"/>
        </w:rPr>
        <w:t xml:space="preserve">іноземних посадовців та представників міжнародних організацій. Крім того, впродовж року проведено низку інформаційних заходів та кампаній з основними акцентами на: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можливостях рекрутингу до різних підрозділів Сил безпеки та оборони України;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наявних програм</w:t>
      </w:r>
      <w:r>
        <w:rPr>
          <w:sz w:val="28"/>
          <w:szCs w:val="28"/>
          <w:lang w:val="uk-UA" w:eastAsia="uk-UA"/>
        </w:rPr>
        <w:t xml:space="preserve">ах</w:t>
      </w:r>
      <w:r>
        <w:rPr>
          <w:sz w:val="28"/>
          <w:szCs w:val="28"/>
          <w:lang w:val="uk-UA" w:eastAsia="uk-UA"/>
        </w:rPr>
        <w:t xml:space="preserve"> підтримки ветеранів та членів їхніх сімей, сприяння адаптації ветеранів до цивільного життя;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патріотичному вихованні, важливих віхах та знаменних подіях</w:t>
      </w:r>
      <w:r>
        <w:rPr>
          <w:sz w:val="28"/>
          <w:szCs w:val="28"/>
          <w:lang w:val="uk-UA" w:eastAsia="uk-UA"/>
        </w:rPr>
        <w:t xml:space="preserve"> в історії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України, спростуванню радянських і російських міфів;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підвищенні обізнаності про актуальні загрози у кіберпросторі, ефективні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методи захисту персональних даних та особистих фінансів;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інформуванні </w:t>
      </w:r>
      <w:r>
        <w:rPr>
          <w:sz w:val="28"/>
          <w:szCs w:val="28"/>
          <w:lang w:val="uk-UA" w:eastAsia="uk-UA"/>
        </w:rPr>
        <w:t xml:space="preserve">в межах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кампанії соціальних змін «Безбар’єрність </w:t>
      </w:r>
      <w:r>
        <w:rPr>
          <w:sz w:val="28"/>
          <w:szCs w:val="28"/>
          <w:lang w:val="uk-UA" w:eastAsia="uk-UA"/>
        </w:rPr>
        <w:t xml:space="preserve">–</w:t>
      </w:r>
      <w:r>
        <w:rPr>
          <w:sz w:val="28"/>
          <w:szCs w:val="28"/>
          <w:lang w:val="uk-UA" w:eastAsia="uk-UA"/>
        </w:rPr>
        <w:t xml:space="preserve"> це коли можеш»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про основні напрями створення доступного середовища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формуванні уявлення про безбар’єрність як нову суспільну норму;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рекомендаціях щодо збереження та відновлення ментального здоров’я,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напрям</w:t>
      </w:r>
      <w:r>
        <w:rPr>
          <w:sz w:val="28"/>
          <w:szCs w:val="28"/>
          <w:lang w:val="uk-UA" w:eastAsia="uk-UA"/>
        </w:rPr>
        <w:t xml:space="preserve">ах</w:t>
      </w:r>
      <w:r>
        <w:rPr>
          <w:sz w:val="28"/>
          <w:szCs w:val="28"/>
          <w:lang w:val="uk-UA" w:eastAsia="uk-UA"/>
        </w:rPr>
        <w:t xml:space="preserve"> реалізації Всеукраїнської програми ментального здоров’я «Ти як?»;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розпізнаванні ворожої пропаганди та маніпуляцій, попередженн</w:t>
      </w:r>
      <w:r>
        <w:rPr>
          <w:sz w:val="28"/>
          <w:szCs w:val="28"/>
          <w:lang w:val="uk-UA" w:eastAsia="uk-UA"/>
        </w:rPr>
        <w:t xml:space="preserve">і</w:t>
      </w:r>
      <w:r>
        <w:rPr>
          <w:sz w:val="28"/>
          <w:szCs w:val="28"/>
          <w:lang w:val="uk-UA" w:eastAsia="uk-UA"/>
        </w:rPr>
        <w:t xml:space="preserve"> про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спроби вербування українців російськими спецслужбами;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реалізації ініціатив Уряду, зокрема «Зимова підтримка», «Скринінг 40+»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та інш</w:t>
      </w:r>
      <w:r>
        <w:rPr>
          <w:sz w:val="28"/>
          <w:szCs w:val="28"/>
          <w:lang w:val="uk-UA" w:eastAsia="uk-UA"/>
        </w:rPr>
        <w:t xml:space="preserve">их</w:t>
      </w:r>
      <w:r>
        <w:rPr>
          <w:sz w:val="28"/>
          <w:szCs w:val="28"/>
          <w:lang w:val="uk-UA" w:eastAsia="uk-UA"/>
        </w:rPr>
        <w:t xml:space="preserve">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дбайливому ставленні до енергосистем</w:t>
      </w:r>
      <w:r>
        <w:rPr>
          <w:sz w:val="28"/>
          <w:szCs w:val="28"/>
          <w:lang w:val="uk-UA" w:eastAsia="uk-UA"/>
        </w:rPr>
        <w:t xml:space="preserve">и</w:t>
      </w:r>
      <w:r>
        <w:rPr>
          <w:sz w:val="28"/>
          <w:szCs w:val="28"/>
          <w:lang w:val="uk-UA" w:eastAsia="uk-UA"/>
        </w:rPr>
        <w:t xml:space="preserve">, ощадливому використанню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електроенергії;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порадах щодо утеплення житла та збереження енергії;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наявних інструментах громадського контролю для протидії корупції;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інформуванні про спортивні змагання у рамках проєкту «Пліч-о-пліч.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Всеукраїнські шкільні ліги»;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активностях до Всесвітнього дня прибирання «World Cleanup Day» в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Україні;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інформуванні про новий етап Мультиіндикаторного кластерного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обстеження домогосподарств.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Протягом 2025 року розміщено близько 200 білбордів та більше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300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сітілайтів зовнішньої реклами соціального характеру.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 метою підтримки друкованих медіа під час воєнного стану в межах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Обласної програми сприяння розвитку інформаційного простору та публічних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комунікацій на 2025</w:t>
      </w:r>
      <w:r>
        <w:rPr>
          <w:sz w:val="28"/>
          <w:szCs w:val="28"/>
          <w:lang w:val="uk-UA" w:eastAsia="uk-UA"/>
        </w:rPr>
        <w:t xml:space="preserve">–</w:t>
      </w:r>
      <w:r>
        <w:rPr>
          <w:sz w:val="28"/>
          <w:szCs w:val="28"/>
          <w:lang w:val="uk-UA" w:eastAsia="uk-UA"/>
        </w:rPr>
        <w:t xml:space="preserve">2026 роки </w:t>
      </w:r>
      <w:r>
        <w:rPr>
          <w:sz w:val="28"/>
          <w:szCs w:val="28"/>
          <w:lang w:val="uk-UA" w:eastAsia="uk-UA"/>
        </w:rPr>
        <w:t xml:space="preserve">і</w:t>
      </w:r>
      <w:r>
        <w:rPr>
          <w:sz w:val="28"/>
          <w:szCs w:val="28"/>
          <w:lang w:val="uk-UA" w:eastAsia="uk-UA"/>
        </w:rPr>
        <w:t xml:space="preserve">з 17 редакціями локальних реформованих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екскомунальних друкованих медіа укладено договори на загальну суму 190 тис.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грн, що дозволило підтримати спроможність локальних видань у складних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економічних умовах.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Редакціям надавалась методична, інформаційна, організаційна підтримка,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зокрема, щодо залучення коштів донорів і грантодавців для подальшої діяльності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медіа.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Забезпечено постійний моніторинг інформаційного простору та проактивне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реагування на кризові події. Налагоджено оперативну кризову комунікацію за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наслідками ворожих обстрілів та аварійних ситуацій в енергосистемі.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 w:after="24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Обласна державна адміністрація готувала та якнайширше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розповсюджувала повідомлення, спрямовані на консолідацію жителів області та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деконструкцію наративів держави-агресора. Забезпечено комунікацію та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співпрацю в цьому напрямі з Центром протидії дезінформації при РНБО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України.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Взаємодія з громадським сектором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Обласна державна адміністрація взаємодіє з громадянським суспільством,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використовуючи такі механізми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як консультації з громадськістю, участь у Громадській раді при </w:t>
      </w:r>
      <w:r>
        <w:rPr>
          <w:sz w:val="28"/>
          <w:szCs w:val="28"/>
          <w:lang w:val="uk-UA" w:eastAsia="uk-UA"/>
        </w:rPr>
        <w:t xml:space="preserve">Чернігівській </w:t>
      </w:r>
      <w:r>
        <w:rPr>
          <w:sz w:val="28"/>
          <w:szCs w:val="28"/>
          <w:lang w:val="uk-UA" w:eastAsia="uk-UA"/>
        </w:rPr>
        <w:t xml:space="preserve">обласній державній адміністрації та</w:t>
      </w:r>
      <w:r>
        <w:rPr>
          <w:sz w:val="28"/>
          <w:szCs w:val="28"/>
          <w:lang w:val="uk-UA" w:eastAsia="uk-UA"/>
        </w:rPr>
        <w:t xml:space="preserve"> робочих групах, </w:t>
      </w:r>
      <w:r>
        <w:rPr>
          <w:sz w:val="28"/>
          <w:szCs w:val="28"/>
          <w:lang w:val="uk-UA" w:eastAsia="uk-UA"/>
        </w:rPr>
        <w:t xml:space="preserve">громадські експертизи і моніторинги, громадські слухання, інформаційні запити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тощо.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 році оприлюднено 87 інформаційних повідомлень щодо проведення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електронних консультацій з громадськістю, зокрема 42 проєкти розпоряджень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начальника </w:t>
      </w:r>
      <w:r>
        <w:rPr>
          <w:sz w:val="28"/>
          <w:szCs w:val="28"/>
          <w:lang w:val="uk-UA" w:eastAsia="uk-UA"/>
        </w:rPr>
        <w:t xml:space="preserve">Чернігівської </w:t>
      </w:r>
      <w:r>
        <w:rPr>
          <w:sz w:val="28"/>
          <w:szCs w:val="28"/>
          <w:lang w:val="uk-UA" w:eastAsia="uk-UA"/>
        </w:rPr>
        <w:t xml:space="preserve">обласної військової адміністрації щодо проєктів обласних програм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та змін до них, 44 проєкти звітів про виконання у 2024 році обласних програм,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один проєкт орієнтовного плану проведення Чернігівською обласною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державною адміністрацією консультацій з громадськістю на 2026 рік.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Забезпечено організаційний та документальний супровід роботи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Громадської ради при </w:t>
      </w:r>
      <w:r>
        <w:rPr>
          <w:sz w:val="28"/>
          <w:szCs w:val="28"/>
          <w:lang w:val="uk-UA" w:eastAsia="uk-UA"/>
        </w:rPr>
        <w:t xml:space="preserve">Чернігівській </w:t>
      </w:r>
      <w:r>
        <w:rPr>
          <w:sz w:val="28"/>
          <w:szCs w:val="28"/>
          <w:lang w:val="uk-UA" w:eastAsia="uk-UA"/>
        </w:rPr>
        <w:t xml:space="preserve">обласній державній адміністрацій (відбулось 1 засідання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Громадської ради та 2 засідання її президії, засідання за «круглим столом» «Стан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РЛП «Ялівщина» станом на 01 січня 2025 року: збереження та перспективи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розвитку», виїзне розширене </w:t>
      </w:r>
      <w:r>
        <w:rPr>
          <w:sz w:val="28"/>
          <w:szCs w:val="28"/>
          <w:lang w:val="uk-UA" w:eastAsia="uk-UA"/>
        </w:rPr>
        <w:t xml:space="preserve">засідання комітету екології та санепідблагополуччя населення Громадської ради). </w:t>
      </w:r>
      <w:r>
        <w:rPr>
          <w:sz w:val="28"/>
          <w:szCs w:val="28"/>
          <w:lang w:val="uk-UA" w:eastAsia="uk-UA"/>
        </w:rPr>
        <w:t xml:space="preserve">За результатами проведеної роботи підготовлено та направлено </w:t>
      </w:r>
      <w:r>
        <w:rPr>
          <w:sz w:val="28"/>
          <w:szCs w:val="28"/>
          <w:lang w:val="uk-UA" w:eastAsia="uk-UA"/>
        </w:rPr>
        <w:t xml:space="preserve">три</w:t>
      </w:r>
      <w:r>
        <w:rPr>
          <w:sz w:val="28"/>
          <w:szCs w:val="28"/>
          <w:lang w:val="uk-UA" w:eastAsia="uk-UA"/>
        </w:rPr>
        <w:t xml:space="preserve"> звернення Громадської ради до органів державної влади та РЛП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«Ялівщина».</w:t>
      </w:r>
      <w:r>
        <w:rPr>
          <w:sz w:val="28"/>
          <w:szCs w:val="28"/>
          <w:lang w:val="uk-UA" w:eastAsia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Інститутам громадянського суспільства надавалась інформаційна та організаційна підтримка з питань напрямів їх діяльності</w:t>
      </w:r>
      <w:r>
        <w:rPr>
          <w:sz w:val="28"/>
          <w:szCs w:val="28"/>
          <w:lang w:val="uk-UA" w:eastAsia="uk-UA"/>
        </w:rPr>
        <w:t xml:space="preserve">, взаємодії з органами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державної влади.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Надано сприяння громадському об</w:t>
      </w:r>
      <w:r>
        <w:rPr>
          <w:sz w:val="28"/>
          <w:szCs w:val="28"/>
          <w:lang w:val="uk-UA" w:eastAsia="uk-UA"/>
        </w:rPr>
        <w:t xml:space="preserve">’</w:t>
      </w:r>
      <w:r>
        <w:rPr>
          <w:sz w:val="28"/>
          <w:szCs w:val="28"/>
          <w:lang w:val="uk-UA" w:eastAsia="uk-UA"/>
        </w:rPr>
        <w:t xml:space="preserve">єднанню «Спілка ініціатив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Чернігівщини» у проведенні 7 навчальних онлайн заходів для державних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службовців, представників </w:t>
      </w:r>
      <w:r>
        <w:rPr>
          <w:sz w:val="28"/>
          <w:szCs w:val="28"/>
          <w:lang w:val="uk-UA" w:eastAsia="uk-UA"/>
        </w:rPr>
        <w:t xml:space="preserve">органів місцевого самоврядування </w:t>
      </w:r>
      <w:r>
        <w:rPr>
          <w:sz w:val="28"/>
          <w:szCs w:val="28"/>
          <w:lang w:val="uk-UA" w:eastAsia="uk-UA"/>
        </w:rPr>
        <w:t xml:space="preserve">та </w:t>
      </w:r>
      <w:r>
        <w:rPr>
          <w:sz w:val="28"/>
          <w:szCs w:val="28"/>
          <w:lang w:val="uk-UA" w:eastAsia="uk-UA"/>
        </w:rPr>
        <w:t xml:space="preserve">інститутів громадянського суспільства</w:t>
      </w:r>
      <w:r>
        <w:rPr>
          <w:sz w:val="28"/>
          <w:szCs w:val="28"/>
          <w:lang w:val="uk-UA" w:eastAsia="uk-UA"/>
        </w:rPr>
        <w:t xml:space="preserve"> (вересень–грудень 2025 року).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Надано </w:t>
      </w:r>
      <w:r>
        <w:rPr>
          <w:sz w:val="28"/>
          <w:szCs w:val="28"/>
          <w:lang w:val="uk-UA" w:eastAsia="uk-UA"/>
        </w:rPr>
        <w:t xml:space="preserve">сприяння громадській організації «Активне Суспільство України» у проведенні Форуму </w:t>
      </w:r>
      <w:r>
        <w:rPr>
          <w:sz w:val="28"/>
          <w:szCs w:val="28"/>
          <w:lang w:val="uk-UA" w:eastAsia="uk-UA"/>
        </w:rPr>
        <w:t xml:space="preserve">організацій громадянського суспільства та волонтерів «ЗУСТРІЧ» у м. Чернігові (26</w:t>
      </w:r>
      <w:r>
        <w:rPr>
          <w:sz w:val="28"/>
          <w:szCs w:val="28"/>
          <w:lang w:val="uk-UA" w:eastAsia="uk-UA"/>
        </w:rPr>
        <w:t xml:space="preserve">.09.</w:t>
      </w:r>
      <w:r>
        <w:rPr>
          <w:sz w:val="28"/>
          <w:szCs w:val="28"/>
          <w:lang w:val="uk-UA" w:eastAsia="uk-UA"/>
        </w:rPr>
        <w:t xml:space="preserve">2025) у межах проєкту «Сильне</w:t>
      </w:r>
      <w:r>
        <w:rPr>
          <w:sz w:val="28"/>
          <w:szCs w:val="28"/>
          <w:lang w:val="uk-UA" w:eastAsia="uk-UA"/>
        </w:rPr>
        <w:t xml:space="preserve"> громадянське суспільство України – рушій реформ і демократії» за підтримки Фонду «Аскольд і Дір», ІСАР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Єднання. Надано сприяння громадському об</w:t>
      </w:r>
      <w:r>
        <w:rPr>
          <w:sz w:val="28"/>
          <w:szCs w:val="28"/>
          <w:lang w:val="uk-UA" w:eastAsia="uk-UA"/>
        </w:rPr>
        <w:t xml:space="preserve">’</w:t>
      </w:r>
      <w:r>
        <w:rPr>
          <w:sz w:val="28"/>
          <w:szCs w:val="28"/>
          <w:lang w:val="uk-UA" w:eastAsia="uk-UA"/>
        </w:rPr>
        <w:t xml:space="preserve">єднанню «Спілка ініціатив Чернігівщини» у проведенні обласного форуму інститутів громадянського суспільства «Відповідальні творити майбутнє» (12</w:t>
      </w:r>
      <w:r>
        <w:rPr>
          <w:sz w:val="28"/>
          <w:szCs w:val="28"/>
          <w:lang w:val="uk-UA" w:eastAsia="uk-UA"/>
        </w:rPr>
        <w:t xml:space="preserve">–</w:t>
      </w:r>
      <w:r>
        <w:rPr>
          <w:sz w:val="28"/>
          <w:szCs w:val="28"/>
          <w:lang w:val="uk-UA" w:eastAsia="uk-UA"/>
        </w:rPr>
        <w:t xml:space="preserve">13</w:t>
      </w:r>
      <w:r>
        <w:rPr>
          <w:sz w:val="28"/>
          <w:szCs w:val="28"/>
          <w:lang w:val="uk-UA" w:eastAsia="uk-UA"/>
        </w:rPr>
        <w:t xml:space="preserve">.12.2025</w:t>
      </w:r>
      <w:r>
        <w:rPr>
          <w:sz w:val="28"/>
          <w:szCs w:val="28"/>
          <w:lang w:val="uk-UA" w:eastAsia="uk-UA"/>
        </w:rPr>
        <w:t xml:space="preserve">)</w:t>
      </w:r>
      <w:r>
        <w:rPr>
          <w:sz w:val="28"/>
          <w:szCs w:val="28"/>
          <w:lang w:val="uk-UA" w:eastAsia="uk-UA"/>
        </w:rPr>
        <w:t xml:space="preserve">, до якого долучилися б</w:t>
      </w:r>
      <w:r>
        <w:rPr>
          <w:sz w:val="28"/>
          <w:szCs w:val="28"/>
          <w:lang w:val="uk-UA" w:eastAsia="uk-UA"/>
        </w:rPr>
        <w:t xml:space="preserve">лизько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60 громадських активістів та представників територіальних громад </w:t>
      </w:r>
      <w:r>
        <w:rPr>
          <w:sz w:val="28"/>
          <w:szCs w:val="28"/>
          <w:lang w:val="uk-UA" w:eastAsia="uk-UA"/>
        </w:rPr>
        <w:t xml:space="preserve">області</w:t>
      </w:r>
      <w:r>
        <w:rPr>
          <w:sz w:val="28"/>
          <w:szCs w:val="28"/>
          <w:lang w:val="uk-UA" w:eastAsia="uk-UA"/>
        </w:rPr>
        <w:t xml:space="preserve">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Також надавалась інформаційна підтримка громадській організації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«Асоціація регіональних засобів масової інформації»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Чернігівській обласній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організації Національної спілки журналісті</w:t>
      </w:r>
      <w:r>
        <w:rPr>
          <w:sz w:val="28"/>
          <w:szCs w:val="28"/>
          <w:lang w:val="uk-UA" w:eastAsia="uk-UA"/>
        </w:rPr>
        <w:t xml:space="preserve">в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громадській організації «Активне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Суспільство України»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громадському об’єднанню «СІЧ»</w:t>
      </w:r>
      <w:r>
        <w:rPr>
          <w:sz w:val="28"/>
          <w:szCs w:val="28"/>
          <w:lang w:val="uk-UA" w:eastAsia="uk-UA"/>
        </w:rPr>
        <w:t xml:space="preserve">,</w:t>
      </w:r>
      <w:r>
        <w:rPr>
          <w:sz w:val="28"/>
          <w:szCs w:val="28"/>
          <w:lang w:val="uk-UA" w:eastAsia="uk-UA"/>
        </w:rPr>
        <w:t xml:space="preserve"> Чернігівській обласній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організації «Народний Рух України» та громадським організаціям, які входять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до складу Громадської ради при</w:t>
      </w:r>
      <w:r>
        <w:rPr>
          <w:sz w:val="28"/>
          <w:szCs w:val="28"/>
          <w:lang w:val="uk-UA" w:eastAsia="uk-UA"/>
        </w:rPr>
        <w:t xml:space="preserve"> Ч</w:t>
      </w:r>
      <w:r>
        <w:rPr>
          <w:sz w:val="28"/>
          <w:szCs w:val="28"/>
          <w:lang w:val="uk-UA" w:eastAsia="uk-UA"/>
        </w:rPr>
        <w:t xml:space="preserve">ернігівській </w:t>
      </w:r>
      <w:r>
        <w:rPr>
          <w:sz w:val="28"/>
          <w:szCs w:val="28"/>
          <w:lang w:val="uk-UA" w:eastAsia="uk-UA"/>
        </w:rPr>
        <w:t xml:space="preserve">обл</w:t>
      </w:r>
      <w:r>
        <w:rPr>
          <w:sz w:val="28"/>
          <w:szCs w:val="28"/>
          <w:lang w:val="uk-UA" w:eastAsia="uk-UA"/>
        </w:rPr>
        <w:t xml:space="preserve">асній </w:t>
      </w:r>
      <w:r>
        <w:rPr>
          <w:sz w:val="28"/>
          <w:szCs w:val="28"/>
          <w:lang w:val="uk-UA" w:eastAsia="uk-UA"/>
        </w:rPr>
        <w:t xml:space="preserve">держа</w:t>
      </w:r>
      <w:r>
        <w:rPr>
          <w:sz w:val="28"/>
          <w:szCs w:val="28"/>
          <w:lang w:val="uk-UA" w:eastAsia="uk-UA"/>
        </w:rPr>
        <w:t xml:space="preserve">вній а</w:t>
      </w:r>
      <w:r>
        <w:rPr>
          <w:sz w:val="28"/>
          <w:szCs w:val="28"/>
          <w:lang w:val="uk-UA" w:eastAsia="uk-UA"/>
        </w:rPr>
        <w:t xml:space="preserve">дміністрації та Штабу волонтерів</w:t>
      </w:r>
      <w:r>
        <w:rPr>
          <w:sz w:val="28"/>
          <w:szCs w:val="28"/>
          <w:lang w:val="uk-UA" w:eastAsia="uk-UA"/>
        </w:rPr>
        <w:t xml:space="preserve"> Чернігівської області.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Розгляд звернень громадян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спостерігалося зменшення кількості звернень громадян, що надійшли на адресу обласної державної адміністрації. Загалом отримано 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097 звернень, що на</w:t>
      </w:r>
      <w:r>
        <w:rPr>
          <w:sz w:val="28"/>
          <w:szCs w:val="28"/>
          <w:lang w:val="uk-UA"/>
        </w:rPr>
        <w:t xml:space="preserve"> 30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менше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ніж у 2024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році.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Із загальної кількості звернень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982 були індивідуальними, 115 – колективними. З урахуванням колективних звернень до </w:t>
      </w:r>
      <w:r>
        <w:rPr>
          <w:sz w:val="28"/>
          <w:szCs w:val="28"/>
          <w:lang w:val="uk-UA"/>
        </w:rPr>
        <w:t xml:space="preserve">обласної державної адміністрації </w:t>
      </w:r>
      <w:r>
        <w:rPr>
          <w:sz w:val="28"/>
          <w:szCs w:val="28"/>
          <w:lang w:val="uk-UA"/>
        </w:rPr>
        <w:t xml:space="preserve">звернул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ся 11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245 громадян.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Найбільше звернень у звітному періоді надійшло від жителів міста Чернігова –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515 (30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Ніжинського району – 895 (17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Чернігівського району – 752 (15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Прилуцького району – 665 (13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Найменша кількість звернень зафіксована від мешканців Новгород-Сіверського району – 304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звернення (6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Засобами електронного </w:t>
      </w:r>
      <w:r>
        <w:rPr>
          <w:sz w:val="28"/>
          <w:szCs w:val="28"/>
          <w:lang w:val="uk-UA"/>
        </w:rPr>
        <w:t xml:space="preserve">зв’язку надійшло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616 звернень, у тому числі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232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– через державну установу «Урядовий контактний центр», 210 – на електронну пошту </w:t>
      </w:r>
      <w:r>
        <w:rPr>
          <w:sz w:val="28"/>
          <w:szCs w:val="28"/>
          <w:lang w:val="uk-UA"/>
        </w:rPr>
        <w:t xml:space="preserve">обласної державної адміністрації</w:t>
      </w:r>
      <w:r>
        <w:rPr>
          <w:sz w:val="28"/>
          <w:szCs w:val="28"/>
          <w:lang w:val="uk-UA"/>
        </w:rPr>
        <w:t xml:space="preserve">, 174 – від інших установ та організацій.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бласною держав</w:t>
      </w:r>
      <w:r>
        <w:rPr>
          <w:sz w:val="28"/>
          <w:szCs w:val="28"/>
          <w:lang w:val="uk-UA"/>
        </w:rPr>
        <w:t xml:space="preserve">н</w:t>
      </w:r>
      <w:r>
        <w:rPr>
          <w:sz w:val="28"/>
          <w:szCs w:val="28"/>
          <w:lang w:val="uk-UA"/>
        </w:rPr>
        <w:t xml:space="preserve">ою адміністрацією 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соблива увага приділялася вирішенню проблем громадян, які потребують соціального захисту та підтримки, зокрема ветеранів війни та праці, осіб з інвалідністю, постраждалих внаслідок </w:t>
      </w:r>
      <w:r>
        <w:rPr>
          <w:sz w:val="28"/>
          <w:szCs w:val="28"/>
          <w:lang w:val="uk-UA"/>
        </w:rPr>
        <w:t xml:space="preserve">Чорнобильської катастрофи, багатодітних сімей, одиноких матерів, внутрішньо переміщених осіб. Від зазначених категорій громадян упродовж 2025 року надійшло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566 звернень (у 2024 році –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164).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звітного періоду надійшл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172 повторні звернення, що становить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від загальної кількості (у 2024 році – 306 звернень, або 4%). За всіма повторними зверненнями проведено аналіз та надано </w:t>
      </w:r>
      <w:r>
        <w:rPr>
          <w:sz w:val="28"/>
          <w:szCs w:val="28"/>
          <w:lang w:val="uk-UA"/>
        </w:rPr>
        <w:t xml:space="preserve">заявникам </w:t>
      </w:r>
      <w:r>
        <w:rPr>
          <w:sz w:val="28"/>
          <w:szCs w:val="28"/>
          <w:lang w:val="uk-UA"/>
        </w:rPr>
        <w:t xml:space="preserve">обґрунтовані відповіді.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 у 2025 році отримано 115 колективних звернень, що становить 2,3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від загальної кількості (у 2024 році – 95, або 1,3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Найчастіше з колективними зверненнями зверталися мешканці міста Чернігова (51 звернення), Ніжинського району (31), Прилуцького району (29).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Найбільше звернень стосувалося питань комунального господарства –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944, або 38,1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від загальної кількості. Найчастіше з цих питань зверталися мешканці міста Чернігова, Ніжинського та Прилуцького районів.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Другими за питомою вагою </w:t>
      </w:r>
      <w:r>
        <w:rPr>
          <w:sz w:val="28"/>
          <w:szCs w:val="28"/>
          <w:lang w:val="uk-UA"/>
        </w:rPr>
        <w:t xml:space="preserve">були</w:t>
      </w:r>
      <w:r>
        <w:rPr>
          <w:sz w:val="28"/>
          <w:szCs w:val="28"/>
          <w:lang w:val="uk-UA"/>
        </w:rPr>
        <w:t xml:space="preserve"> питання соціального захисту населення –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091 звернення, або 21,4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(у 2024 році –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041 звернення, або 41,6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  <w:lang w:val="uk-UA"/>
        </w:rPr>
        <w:t xml:space="preserve">%). Зменшення кількості звернень з цієї тематики пов’язане з передачею з </w:t>
      </w:r>
      <w:r>
        <w:rPr>
          <w:sz w:val="28"/>
          <w:szCs w:val="28"/>
          <w:lang w:val="en-US"/>
        </w:rPr>
        <w:t xml:space="preserve">0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.07.</w:t>
      </w:r>
      <w:r>
        <w:rPr>
          <w:sz w:val="28"/>
          <w:szCs w:val="28"/>
          <w:lang w:val="uk-UA"/>
        </w:rPr>
        <w:t xml:space="preserve">2025 функцій з адміністрування соціальних виплат від місцевих державних адміністрацій</w:t>
      </w:r>
      <w:r>
        <w:rPr>
          <w:sz w:val="28"/>
          <w:szCs w:val="28"/>
          <w:lang w:val="uk-UA"/>
        </w:rPr>
        <w:t xml:space="preserve"> до Пенсійного фонду України. Найбільше таких звернень над</w:t>
      </w:r>
      <w:r>
        <w:rPr>
          <w:sz w:val="28"/>
          <w:szCs w:val="28"/>
          <w:lang w:val="uk-UA"/>
        </w:rPr>
        <w:t xml:space="preserve">ійшло</w:t>
      </w:r>
      <w:r>
        <w:rPr>
          <w:sz w:val="28"/>
          <w:szCs w:val="28"/>
          <w:lang w:val="uk-UA"/>
        </w:rPr>
        <w:t xml:space="preserve"> від жителів Ніжинського та Чернігівського районів і міста Чернігова.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третьому місці за актуальністю питання охорони здоров’я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317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звернень, або 6,2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  <w:lang w:val="uk-UA"/>
        </w:rPr>
        <w:t xml:space="preserve">% (у 2024 році – 4,5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  <w:lang w:val="uk-UA"/>
        </w:rPr>
        <w:t xml:space="preserve">%</w:t>
      </w:r>
      <w:r>
        <w:rPr>
          <w:sz w:val="28"/>
          <w:szCs w:val="28"/>
          <w:lang w:val="uk-UA"/>
        </w:rPr>
        <w:t xml:space="preserve">).</w:t>
      </w:r>
      <w:r>
        <w:rPr>
          <w:sz w:val="28"/>
          <w:szCs w:val="28"/>
          <w:lang w:val="uk-UA"/>
        </w:rPr>
        <w:t xml:space="preserve"> Найбільша кількість звернень надійшла від мешканців Ніжинського, Прилуцького та Чернігівського районів.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Актуальними залишалися питання освіти, наукової, науково-технічної та інноваційної діяльності – 274 звернення, або 5,4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(у 2024 році – 175 звернень, або 2,4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що свідчить про сталий суспільний запит на підвищення якості освітніх послуг.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Значну частку становили звернення з питань культури та охорони культурної спадщини – 249 звернень, або 4,9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(у 2024 році – 125 звернень, або 1,7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переважно щодо </w:t>
      </w:r>
      <w:r>
        <w:rPr>
          <w:sz w:val="28"/>
          <w:szCs w:val="28"/>
          <w:lang w:val="uk-UA"/>
        </w:rPr>
        <w:t xml:space="preserve">перейменування назв вулиць відповідно до законодавства про деколонізацію топонімії.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Питання цивільного захисту населення та ліквідації наслідків надзвичайних ситуацій порушувалися у 233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зверненнях (4,6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</w:t>
      </w:r>
      <w:r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 xml:space="preserve"> стосувалися функціонування укриттів, пунктів незламності, відновлення пошкодженого житла та екологічної безпеки.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органів місцевого самоврядування надійшло 134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звернення (2,6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з аграрної політики та земельних відносин – 131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(2,6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питання (14,2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 стосувалися транспорту і зв’язку, дотримання законності та правопорядку, житлової політики, праці та заробітної плати, фінансової </w:t>
      </w:r>
      <w:r>
        <w:rPr>
          <w:sz w:val="28"/>
          <w:szCs w:val="28"/>
          <w:lang w:val="uk-UA"/>
        </w:rPr>
        <w:t xml:space="preserve">політики, сімейної та гендерної політики, обороноздатності та інших сфер.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Питання, порушені у 171 зверненні, вирішені </w:t>
      </w:r>
      <w:r>
        <w:rPr>
          <w:sz w:val="28"/>
          <w:szCs w:val="28"/>
          <w:lang w:val="uk-UA"/>
        </w:rPr>
        <w:t xml:space="preserve">позитивно, </w:t>
      </w:r>
      <w:r>
        <w:rPr>
          <w:iCs/>
          <w:sz w:val="28"/>
          <w:szCs w:val="28"/>
          <w:lang w:val="uk-UA"/>
        </w:rPr>
        <w:t xml:space="preserve">щодо </w:t>
      </w:r>
      <w:r>
        <w:rPr>
          <w:iCs/>
          <w:sz w:val="28"/>
          <w:szCs w:val="28"/>
          <w:lang w:val="uk-UA"/>
        </w:rPr>
        <w:t xml:space="preserve">інши</w:t>
      </w:r>
      <w:r>
        <w:rPr>
          <w:iCs/>
          <w:sz w:val="28"/>
          <w:szCs w:val="28"/>
          <w:lang w:val="uk-UA"/>
        </w:rPr>
        <w:t xml:space="preserve">х</w:t>
      </w:r>
      <w:r>
        <w:rPr>
          <w:iCs/>
          <w:sz w:val="28"/>
          <w:szCs w:val="28"/>
          <w:lang w:val="uk-UA"/>
        </w:rPr>
        <w:t xml:space="preserve"> надан</w:t>
      </w:r>
      <w:r>
        <w:rPr>
          <w:iCs/>
          <w:sz w:val="28"/>
          <w:szCs w:val="28"/>
          <w:lang w:val="uk-UA"/>
        </w:rPr>
        <w:t xml:space="preserve">о </w:t>
      </w:r>
      <w:r>
        <w:rPr>
          <w:iCs/>
          <w:sz w:val="28"/>
          <w:szCs w:val="28"/>
          <w:lang w:val="uk-UA"/>
        </w:rPr>
        <w:t xml:space="preserve">роз’яснення </w:t>
      </w:r>
      <w:r>
        <w:rPr>
          <w:sz w:val="28"/>
          <w:szCs w:val="28"/>
          <w:lang w:val="uk-UA"/>
        </w:rPr>
        <w:t xml:space="preserve">або переслано за належністю відповідно до статті 7 Закону</w:t>
      </w:r>
      <w:r>
        <w:rPr>
          <w:sz w:val="28"/>
          <w:szCs w:val="28"/>
          <w:lang w:val="uk-UA"/>
        </w:rPr>
        <w:t xml:space="preserve"> України «Про звернення громадян».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забезпечено роботу телефонної «гарячої лінії» голови </w:t>
      </w:r>
      <w:r>
        <w:rPr>
          <w:sz w:val="28"/>
          <w:szCs w:val="28"/>
          <w:lang w:val="uk-UA"/>
        </w:rPr>
        <w:t xml:space="preserve">Чернігівської </w:t>
      </w:r>
      <w:r>
        <w:rPr>
          <w:sz w:val="28"/>
          <w:szCs w:val="28"/>
          <w:lang w:val="uk-UA"/>
        </w:rPr>
        <w:t xml:space="preserve">обласної державної адміністрації. На неї звернулися 615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мешканців області. За 583 зверненнями надано консультації безпосередньо</w:t>
      </w:r>
      <w:r>
        <w:rPr>
          <w:sz w:val="28"/>
          <w:szCs w:val="28"/>
          <w:lang w:val="uk-UA"/>
        </w:rPr>
        <w:t xml:space="preserve"> під час спілкування, 32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звернення потребували додаткового вивчення.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оперативного вирішення проблем проведено 22 особисті прийоми громадян керівництвом Чернігівської ОДА, під час яких (з урахуванням колективних звернень) звернул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ся 32 громадяни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офіційному вебсайті </w:t>
      </w:r>
      <w:r>
        <w:rPr>
          <w:sz w:val="28"/>
          <w:szCs w:val="28"/>
          <w:lang w:val="uk-UA"/>
        </w:rPr>
        <w:t xml:space="preserve">Чернігівської </w:t>
      </w:r>
      <w:r>
        <w:rPr>
          <w:sz w:val="28"/>
          <w:szCs w:val="28"/>
          <w:lang w:val="uk-UA"/>
        </w:rPr>
        <w:t xml:space="preserve">обласної </w:t>
      </w:r>
      <w:r>
        <w:rPr>
          <w:sz w:val="28"/>
          <w:szCs w:val="28"/>
          <w:lang w:val="uk-UA"/>
        </w:rPr>
        <w:t xml:space="preserve">військової</w:t>
      </w:r>
      <w:r>
        <w:rPr>
          <w:sz w:val="28"/>
          <w:szCs w:val="28"/>
          <w:lang w:val="uk-UA"/>
        </w:rPr>
        <w:t xml:space="preserve"> адміністрації </w:t>
      </w:r>
      <w:r>
        <w:rPr>
          <w:sz w:val="28"/>
          <w:szCs w:val="28"/>
          <w:lang w:val="uk-UA"/>
        </w:rPr>
        <w:t xml:space="preserve">продовжила </w:t>
      </w:r>
      <w:r>
        <w:rPr>
          <w:sz w:val="28"/>
          <w:szCs w:val="28"/>
          <w:lang w:val="uk-UA"/>
        </w:rPr>
        <w:t xml:space="preserve">функціону</w:t>
      </w:r>
      <w:r>
        <w:rPr>
          <w:sz w:val="28"/>
          <w:szCs w:val="28"/>
          <w:lang w:val="uk-UA"/>
        </w:rPr>
        <w:t xml:space="preserve">вати</w:t>
      </w:r>
      <w:r>
        <w:rPr>
          <w:sz w:val="28"/>
          <w:szCs w:val="28"/>
          <w:lang w:val="uk-UA"/>
        </w:rPr>
        <w:t xml:space="preserve"> тематична рубрика «Звернення громадян».</w:t>
      </w:r>
      <w:r>
        <w:rPr>
          <w:sz w:val="28"/>
          <w:szCs w:val="28"/>
          <w:lang w:val="uk-UA"/>
        </w:rPr>
      </w:r>
    </w:p>
    <w:p>
      <w:pPr>
        <w:pBdr/>
        <w:spacing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Організаційно-кадрові питання 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Станом на 01.01.202</w:t>
      </w:r>
      <w:r>
        <w:rPr>
          <w:rFonts w:eastAsia="Calibri"/>
          <w:sz w:val="28"/>
          <w:szCs w:val="32"/>
          <w:lang w:val="uk-UA" w:eastAsia="en-US"/>
        </w:rPr>
        <w:t xml:space="preserve">6</w:t>
      </w:r>
      <w:r>
        <w:rPr>
          <w:rFonts w:eastAsia="Calibri"/>
          <w:sz w:val="28"/>
          <w:szCs w:val="32"/>
          <w:lang w:val="uk-UA" w:eastAsia="en-US"/>
        </w:rPr>
        <w:t xml:space="preserve"> штатна чисельність обласної та районних державних адміністрацій склала 1</w:t>
      </w:r>
      <w:r>
        <w:rPr>
          <w:rFonts w:eastAsia="Calibri"/>
          <w:sz w:val="28"/>
          <w:szCs w:val="32"/>
          <w:lang w:val="uk-UA" w:eastAsia="en-US"/>
        </w:rPr>
        <w:t xml:space="preserve"> </w:t>
      </w:r>
      <w:r>
        <w:rPr>
          <w:rFonts w:eastAsia="Calibri"/>
          <w:sz w:val="28"/>
          <w:szCs w:val="32"/>
          <w:lang w:val="uk-UA" w:eastAsia="en-US"/>
        </w:rPr>
        <w:t xml:space="preserve">193</w:t>
      </w:r>
      <w:r>
        <w:rPr>
          <w:rFonts w:eastAsia="Calibri"/>
          <w:sz w:val="28"/>
          <w:szCs w:val="32"/>
          <w:lang w:val="uk-UA" w:eastAsia="en-US"/>
        </w:rPr>
        <w:t xml:space="preserve"> одиниц</w:t>
      </w:r>
      <w:r>
        <w:rPr>
          <w:rFonts w:eastAsia="Calibri"/>
          <w:sz w:val="28"/>
          <w:szCs w:val="32"/>
          <w:lang w:val="uk-UA" w:eastAsia="en-US"/>
        </w:rPr>
        <w:t xml:space="preserve">і</w:t>
      </w:r>
      <w:r>
        <w:rPr>
          <w:rFonts w:eastAsia="Calibri"/>
          <w:sz w:val="28"/>
          <w:szCs w:val="32"/>
          <w:lang w:val="uk-UA" w:eastAsia="en-US"/>
        </w:rPr>
        <w:t xml:space="preserve">, з них державних службовців – 1</w:t>
      </w:r>
      <w:r>
        <w:rPr>
          <w:rFonts w:eastAsia="Calibri"/>
          <w:sz w:val="28"/>
          <w:szCs w:val="32"/>
          <w:lang w:val="uk-UA" w:eastAsia="en-US"/>
        </w:rPr>
        <w:t xml:space="preserve"> </w:t>
      </w:r>
      <w:r>
        <w:rPr>
          <w:rFonts w:eastAsia="Calibri"/>
          <w:sz w:val="28"/>
          <w:szCs w:val="32"/>
          <w:lang w:val="uk-UA" w:eastAsia="en-US"/>
        </w:rPr>
        <w:t xml:space="preserve">033</w:t>
      </w:r>
      <w:r>
        <w:rPr>
          <w:rFonts w:eastAsia="Calibri"/>
          <w:sz w:val="28"/>
          <w:szCs w:val="32"/>
          <w:lang w:val="uk-UA" w:eastAsia="en-US"/>
        </w:rPr>
        <w:t xml:space="preserve">. Гранична чисельність обласної державної адміністрації – 617 одиниць, районних державних адміністрацій – </w:t>
      </w:r>
      <w:r>
        <w:rPr>
          <w:rFonts w:eastAsia="Calibri"/>
          <w:sz w:val="28"/>
          <w:szCs w:val="32"/>
          <w:lang w:val="uk-UA" w:eastAsia="en-US"/>
        </w:rPr>
        <w:t xml:space="preserve">531</w:t>
      </w:r>
      <w:r>
        <w:rPr>
          <w:rFonts w:eastAsia="Calibri"/>
          <w:sz w:val="28"/>
          <w:szCs w:val="32"/>
          <w:lang w:val="uk-UA" w:eastAsia="en-US"/>
        </w:rPr>
        <w:t xml:space="preserve">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У 2025 році за поданням начальника Чернігівської обласної військової адміні</w:t>
      </w:r>
      <w:r>
        <w:rPr>
          <w:rFonts w:eastAsia="Calibri"/>
          <w:sz w:val="28"/>
          <w:szCs w:val="32"/>
          <w:lang w:val="uk-UA" w:eastAsia="en-US"/>
        </w:rPr>
        <w:t xml:space="preserve">страції призначено двох голів районних державних адміністрацій, які набули статусу начальників районних військових адміністрацій, а також двох керівників структурних підрозділів обласної державної адміністрації зі статусом юридичної особи публічного права.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Забезпечено проведення 18 засідань Кадрової комісії з розгляду кандидатур для погодження призначення на керівні посади в місцевих державних адміністраціях Чернігівської області.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Начальником Чернігівської обласної військової адміністрації погоджено призначення першого заступника та </w:t>
      </w:r>
      <w:r>
        <w:rPr>
          <w:rFonts w:eastAsia="Calibri"/>
          <w:sz w:val="28"/>
          <w:szCs w:val="32"/>
          <w:lang w:val="uk-UA" w:eastAsia="en-US"/>
        </w:rPr>
        <w:t xml:space="preserve">двох</w:t>
      </w:r>
      <w:r>
        <w:rPr>
          <w:rFonts w:eastAsia="Calibri"/>
          <w:sz w:val="28"/>
          <w:szCs w:val="32"/>
          <w:lang w:val="uk-UA" w:eastAsia="en-US"/>
        </w:rPr>
        <w:t xml:space="preserve"> заступників голів районних державних адміністрацій, 4 заступників керівників структурних підрозділів обласної державної адміністрації зі статусом юридичної особи публічного права, 14</w:t>
      </w:r>
      <w:r>
        <w:rPr>
          <w:rFonts w:eastAsia="Calibri"/>
          <w:sz w:val="28"/>
          <w:szCs w:val="32"/>
          <w:lang w:val="uk-UA" w:eastAsia="en-US"/>
        </w:rPr>
        <w:t xml:space="preserve"> </w:t>
      </w:r>
      <w:r>
        <w:rPr>
          <w:rFonts w:eastAsia="Calibri"/>
          <w:sz w:val="28"/>
          <w:szCs w:val="32"/>
          <w:lang w:val="uk-UA" w:eastAsia="en-US"/>
        </w:rPr>
        <w:t xml:space="preserve">керівників структурних підрозділів районних державних адміністрацій</w:t>
      </w:r>
      <w:r>
        <w:rPr>
          <w:rFonts w:eastAsia="Calibri"/>
          <w:sz w:val="28"/>
          <w:szCs w:val="32"/>
          <w:lang w:val="uk-UA" w:eastAsia="en-US"/>
        </w:rPr>
        <w:t xml:space="preserve">, а також</w:t>
      </w:r>
      <w:r>
        <w:rPr>
          <w:rFonts w:eastAsia="Calibri"/>
          <w:sz w:val="28"/>
          <w:szCs w:val="32"/>
          <w:lang w:val="uk-UA" w:eastAsia="en-US"/>
        </w:rPr>
        <w:t xml:space="preserve"> звільнення першого заступника голови районної державної адміністрації та 5 заступників голів районних державних адміністрацій.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/>
      <w:bookmarkStart w:id="0" w:name="_Hlk160108572"/>
      <w:r>
        <w:rPr>
          <w:rFonts w:eastAsia="Calibri"/>
          <w:sz w:val="28"/>
          <w:szCs w:val="32"/>
          <w:lang w:val="uk-UA" w:eastAsia="en-US"/>
        </w:rPr>
        <w:t xml:space="preserve">У період дії воєнного стану відповідно до </w:t>
      </w:r>
      <w:r>
        <w:rPr>
          <w:rFonts w:eastAsia="Calibri"/>
          <w:sz w:val="28"/>
          <w:szCs w:val="32"/>
          <w:lang w:val="uk-UA" w:eastAsia="en-US"/>
        </w:rPr>
        <w:t xml:space="preserve">частини </w:t>
      </w:r>
      <w:r>
        <w:rPr>
          <w:rFonts w:eastAsia="Calibri"/>
          <w:sz w:val="28"/>
          <w:szCs w:val="32"/>
          <w:lang w:val="uk-UA" w:eastAsia="en-US"/>
        </w:rPr>
        <w:t xml:space="preserve">п’ятої</w:t>
      </w:r>
      <w:r>
        <w:rPr>
          <w:rFonts w:eastAsia="Calibri"/>
          <w:sz w:val="28"/>
          <w:szCs w:val="32"/>
          <w:lang w:val="uk-UA" w:eastAsia="en-US"/>
        </w:rPr>
        <w:t xml:space="preserve"> статті 10 Закону України «Про правовий режим воєнного стану» передбачено спрощену</w:t>
      </w:r>
      <w:r>
        <w:rPr>
          <w:rFonts w:eastAsia="Calibri"/>
          <w:sz w:val="28"/>
          <w:szCs w:val="32"/>
          <w:lang w:val="uk-UA" w:eastAsia="en-US"/>
        </w:rPr>
        <w:t xml:space="preserve"> процедуру вступу на посади державної служби без проведення конкурсного відбору. 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Упродовж 2025 року на посади державної служби обласної та районних державних адміністрацій Чернігівської області призначено 181 особ</w:t>
      </w:r>
      <w:r>
        <w:rPr>
          <w:rFonts w:eastAsia="Calibri"/>
          <w:sz w:val="28"/>
          <w:szCs w:val="32"/>
          <w:lang w:val="uk-UA" w:eastAsia="en-US"/>
        </w:rPr>
        <w:t xml:space="preserve">у</w:t>
      </w:r>
      <w:r>
        <w:rPr>
          <w:rFonts w:eastAsia="Calibri"/>
          <w:sz w:val="28"/>
          <w:szCs w:val="32"/>
          <w:lang w:val="uk-UA" w:eastAsia="en-US"/>
        </w:rPr>
        <w:t xml:space="preserve">, з них до обласної державної адміністрації – 87 осіб (категорії «Б» – 21, категорії «В» –</w:t>
      </w:r>
      <w:r>
        <w:rPr>
          <w:rFonts w:eastAsia="Calibri"/>
          <w:sz w:val="28"/>
          <w:szCs w:val="32"/>
          <w:lang w:val="uk-UA" w:eastAsia="en-US"/>
        </w:rPr>
        <w:t xml:space="preserve"> </w:t>
      </w:r>
      <w:r>
        <w:rPr>
          <w:rFonts w:eastAsia="Calibri"/>
          <w:sz w:val="28"/>
          <w:szCs w:val="32"/>
          <w:lang w:val="uk-UA" w:eastAsia="en-US"/>
        </w:rPr>
        <w:t xml:space="preserve">66), до районних державних адміністрацій – 94 особи (категорії «Б» – 20,категорії «В» – 74 осіб). 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Звільнено протягом року 332 державн</w:t>
      </w:r>
      <w:r>
        <w:rPr>
          <w:rFonts w:eastAsia="Calibri"/>
          <w:sz w:val="28"/>
          <w:szCs w:val="32"/>
          <w:lang w:val="uk-UA" w:eastAsia="en-US"/>
        </w:rPr>
        <w:t xml:space="preserve">их</w:t>
      </w:r>
      <w:r>
        <w:rPr>
          <w:rFonts w:eastAsia="Calibri"/>
          <w:sz w:val="28"/>
          <w:szCs w:val="32"/>
          <w:lang w:val="uk-UA" w:eastAsia="en-US"/>
        </w:rPr>
        <w:t xml:space="preserve"> службовц</w:t>
      </w:r>
      <w:r>
        <w:rPr>
          <w:rFonts w:eastAsia="Calibri"/>
          <w:sz w:val="28"/>
          <w:szCs w:val="32"/>
          <w:lang w:val="uk-UA" w:eastAsia="en-US"/>
        </w:rPr>
        <w:t xml:space="preserve">ів (</w:t>
      </w:r>
      <w:r>
        <w:rPr>
          <w:rFonts w:eastAsia="Calibri"/>
          <w:sz w:val="28"/>
          <w:szCs w:val="32"/>
          <w:lang w:val="uk-UA" w:eastAsia="en-US"/>
        </w:rPr>
        <w:t xml:space="preserve">з обласної державної адміністрації – 83</w:t>
      </w:r>
      <w:r>
        <w:rPr>
          <w:rFonts w:eastAsia="Calibri"/>
          <w:sz w:val="28"/>
          <w:szCs w:val="32"/>
          <w:lang w:val="uk-UA" w:eastAsia="en-US"/>
        </w:rPr>
        <w:t xml:space="preserve"> (</w:t>
      </w:r>
      <w:r>
        <w:rPr>
          <w:rFonts w:eastAsia="Calibri"/>
          <w:sz w:val="28"/>
          <w:szCs w:val="32"/>
          <w:lang w:val="uk-UA" w:eastAsia="en-US"/>
        </w:rPr>
        <w:t xml:space="preserve">18 категорії «Б» та 65 категорії «В»</w:t>
      </w:r>
      <w:r>
        <w:rPr>
          <w:rFonts w:eastAsia="Calibri"/>
          <w:sz w:val="28"/>
          <w:szCs w:val="32"/>
          <w:lang w:val="uk-UA" w:eastAsia="en-US"/>
        </w:rPr>
        <w:t xml:space="preserve">),</w:t>
      </w:r>
      <w:r>
        <w:rPr>
          <w:rFonts w:eastAsia="Calibri"/>
          <w:sz w:val="28"/>
          <w:szCs w:val="32"/>
          <w:lang w:val="uk-UA" w:eastAsia="en-US"/>
        </w:rPr>
        <w:t xml:space="preserve"> </w:t>
      </w:r>
      <w:r>
        <w:rPr>
          <w:rFonts w:eastAsia="Calibri"/>
          <w:sz w:val="28"/>
          <w:szCs w:val="32"/>
          <w:lang w:val="uk-UA" w:eastAsia="en-US"/>
        </w:rPr>
        <w:t xml:space="preserve">з</w:t>
      </w:r>
      <w:r>
        <w:rPr>
          <w:rFonts w:eastAsia="Calibri"/>
          <w:sz w:val="28"/>
          <w:szCs w:val="32"/>
          <w:lang w:val="uk-UA" w:eastAsia="en-US"/>
        </w:rPr>
        <w:t xml:space="preserve"> районних державних адміністрацій</w:t>
      </w:r>
      <w:r>
        <w:rPr>
          <w:rFonts w:eastAsia="Calibri"/>
          <w:sz w:val="28"/>
          <w:szCs w:val="32"/>
          <w:lang w:val="uk-UA" w:eastAsia="en-US"/>
        </w:rPr>
        <w:t xml:space="preserve"> –</w:t>
      </w:r>
      <w:r>
        <w:rPr>
          <w:rFonts w:eastAsia="Calibri"/>
          <w:sz w:val="28"/>
          <w:szCs w:val="32"/>
          <w:lang w:val="uk-UA" w:eastAsia="en-US"/>
        </w:rPr>
        <w:t xml:space="preserve"> </w:t>
      </w:r>
      <w:r>
        <w:rPr>
          <w:rFonts w:eastAsia="Calibri"/>
          <w:sz w:val="28"/>
          <w:szCs w:val="32"/>
          <w:lang w:val="uk-UA" w:eastAsia="en-US"/>
        </w:rPr>
        <w:t xml:space="preserve">249</w:t>
      </w:r>
      <w:r>
        <w:rPr>
          <w:rFonts w:eastAsia="Calibri"/>
          <w:sz w:val="28"/>
          <w:szCs w:val="32"/>
          <w:lang w:val="uk-UA" w:eastAsia="en-US"/>
        </w:rPr>
        <w:t xml:space="preserve"> </w:t>
      </w:r>
      <w:r>
        <w:rPr>
          <w:rFonts w:eastAsia="Calibri"/>
          <w:sz w:val="28"/>
          <w:szCs w:val="32"/>
          <w:lang w:val="uk-UA" w:eastAsia="en-US"/>
        </w:rPr>
        <w:t xml:space="preserve">(</w:t>
      </w:r>
      <w:r>
        <w:rPr>
          <w:rFonts w:eastAsia="Calibri"/>
          <w:sz w:val="28"/>
          <w:szCs w:val="32"/>
          <w:lang w:val="uk-UA" w:eastAsia="en-US"/>
        </w:rPr>
        <w:t xml:space="preserve">42</w:t>
      </w:r>
      <w:r>
        <w:rPr>
          <w:rFonts w:eastAsia="Calibri"/>
          <w:sz w:val="28"/>
          <w:szCs w:val="32"/>
          <w:lang w:val="uk-UA" w:eastAsia="en-US"/>
        </w:rPr>
        <w:t xml:space="preserve"> </w:t>
      </w:r>
      <w:r>
        <w:rPr>
          <w:rFonts w:eastAsia="Calibri"/>
          <w:sz w:val="28"/>
          <w:szCs w:val="32"/>
          <w:lang w:val="uk-UA" w:eastAsia="en-US"/>
        </w:rPr>
        <w:t xml:space="preserve">категорії</w:t>
      </w:r>
      <w:r>
        <w:rPr>
          <w:rFonts w:eastAsia="Calibri"/>
          <w:sz w:val="28"/>
          <w:szCs w:val="32"/>
          <w:lang w:val="uk-UA" w:eastAsia="en-US"/>
        </w:rPr>
        <w:t xml:space="preserve"> </w:t>
      </w:r>
      <w:r>
        <w:rPr>
          <w:rFonts w:eastAsia="Calibri"/>
          <w:sz w:val="28"/>
          <w:szCs w:val="32"/>
          <w:lang w:val="uk-UA" w:eastAsia="en-US"/>
        </w:rPr>
        <w:t xml:space="preserve">«Б» та 207 категорії «В»</w:t>
      </w:r>
      <w:r>
        <w:rPr>
          <w:rFonts w:eastAsia="Calibri"/>
          <w:sz w:val="28"/>
          <w:szCs w:val="32"/>
          <w:lang w:val="uk-UA" w:eastAsia="en-US"/>
        </w:rPr>
        <w:t xml:space="preserve">))</w:t>
      </w:r>
      <w:r>
        <w:rPr>
          <w:rFonts w:eastAsia="Calibri"/>
          <w:sz w:val="28"/>
          <w:szCs w:val="32"/>
          <w:lang w:val="uk-UA" w:eastAsia="en-US"/>
        </w:rPr>
        <w:t xml:space="preserve">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/>
      <w:bookmarkStart w:id="1" w:name="_Hlk160110654"/>
      <w:r/>
      <w:bookmarkEnd w:id="0"/>
      <w:r>
        <w:rPr>
          <w:rFonts w:eastAsia="Calibri"/>
          <w:sz w:val="28"/>
          <w:szCs w:val="32"/>
          <w:lang w:val="uk-UA" w:eastAsia="en-US"/>
        </w:rPr>
        <w:t xml:space="preserve">Упродовж 2025 року було опрацьовано подання щодо погодження призначення </w:t>
      </w:r>
      <w:r>
        <w:rPr>
          <w:rFonts w:eastAsia="Calibri"/>
          <w:sz w:val="28"/>
          <w:szCs w:val="32"/>
          <w:lang w:val="uk-UA" w:eastAsia="en-US"/>
        </w:rPr>
        <w:t xml:space="preserve">двох</w:t>
      </w:r>
      <w:r>
        <w:rPr>
          <w:rFonts w:eastAsia="Calibri"/>
          <w:sz w:val="28"/>
          <w:szCs w:val="32"/>
          <w:lang w:val="uk-UA" w:eastAsia="en-US"/>
        </w:rPr>
        <w:t xml:space="preserve"> керівників територіальних органів міністерств, інших центральних органів виконавчої влади. </w:t>
      </w:r>
      <w:bookmarkEnd w:id="1"/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32"/>
          <w:lang w:val="uk-UA" w:eastAsia="en-US"/>
        </w:rPr>
      </w:pPr>
      <w:r>
        <w:rPr>
          <w:rFonts w:eastAsia="Calibri"/>
          <w:sz w:val="28"/>
          <w:szCs w:val="32"/>
          <w:lang w:val="uk-UA" w:eastAsia="en-US"/>
        </w:rPr>
        <w:t xml:space="preserve">Здійснювався облік та контроль за дотриманням термінів дії контрактів з керівниками об’єктів </w:t>
      </w:r>
      <w:r>
        <w:rPr>
          <w:rFonts w:eastAsia="Calibri"/>
          <w:sz w:val="28"/>
          <w:szCs w:val="32"/>
          <w:lang w:val="uk-UA" w:eastAsia="en-US"/>
        </w:rPr>
        <w:t xml:space="preserve">спільної власності територіальних громад сіл, селищ, міст</w:t>
      </w:r>
      <w:r>
        <w:rPr>
          <w:rFonts w:eastAsia="Calibri"/>
          <w:sz w:val="28"/>
          <w:szCs w:val="32"/>
          <w:lang w:val="uk-UA" w:eastAsia="en-US"/>
        </w:rPr>
        <w:t xml:space="preserve"> Чернігівської області</w:t>
      </w:r>
      <w:r>
        <w:rPr>
          <w:rFonts w:eastAsia="Calibri"/>
          <w:sz w:val="28"/>
          <w:szCs w:val="32"/>
          <w:lang w:val="uk-UA" w:eastAsia="en-US"/>
        </w:rPr>
        <w:t xml:space="preserve">, що перебувають у сфері управління обласної державної адміністрації. У 202</w:t>
      </w:r>
      <w:r>
        <w:rPr>
          <w:rFonts w:eastAsia="Calibri"/>
          <w:sz w:val="28"/>
          <w:szCs w:val="32"/>
          <w:lang w:val="uk-UA" w:eastAsia="en-US"/>
        </w:rPr>
        <w:t xml:space="preserve">5</w:t>
      </w:r>
      <w:r>
        <w:rPr>
          <w:rFonts w:eastAsia="Calibri"/>
          <w:sz w:val="28"/>
          <w:szCs w:val="32"/>
          <w:lang w:val="uk-UA" w:eastAsia="en-US"/>
        </w:rPr>
        <w:t xml:space="preserve"> році укладено </w:t>
      </w:r>
      <w:r>
        <w:rPr>
          <w:rFonts w:eastAsia="Calibri"/>
          <w:sz w:val="28"/>
          <w:szCs w:val="32"/>
          <w:lang w:val="uk-UA" w:eastAsia="en-US"/>
        </w:rPr>
        <w:t xml:space="preserve">два</w:t>
      </w:r>
      <w:r>
        <w:rPr>
          <w:rFonts w:eastAsia="Calibri"/>
          <w:sz w:val="28"/>
          <w:szCs w:val="32"/>
          <w:lang w:val="uk-UA" w:eastAsia="en-US"/>
        </w:rPr>
        <w:t xml:space="preserve"> контракт</w:t>
      </w:r>
      <w:r>
        <w:rPr>
          <w:rFonts w:eastAsia="Calibri"/>
          <w:sz w:val="28"/>
          <w:szCs w:val="32"/>
          <w:lang w:val="uk-UA" w:eastAsia="en-US"/>
        </w:rPr>
        <w:t xml:space="preserve">и</w:t>
      </w:r>
      <w:r>
        <w:rPr>
          <w:rFonts w:eastAsia="Calibri"/>
          <w:sz w:val="28"/>
          <w:szCs w:val="32"/>
          <w:lang w:val="uk-UA" w:eastAsia="en-US"/>
        </w:rPr>
        <w:t xml:space="preserve"> та 1</w:t>
      </w:r>
      <w:r>
        <w:rPr>
          <w:rFonts w:eastAsia="Calibri"/>
          <w:sz w:val="28"/>
          <w:szCs w:val="32"/>
          <w:lang w:val="uk-UA" w:eastAsia="en-US"/>
        </w:rPr>
        <w:t xml:space="preserve">0</w:t>
      </w:r>
      <w:r>
        <w:rPr>
          <w:rFonts w:eastAsia="Calibri"/>
          <w:sz w:val="28"/>
          <w:szCs w:val="32"/>
          <w:lang w:val="uk-UA" w:eastAsia="en-US"/>
        </w:rPr>
        <w:t xml:space="preserve"> </w:t>
      </w:r>
      <w:r>
        <w:rPr>
          <w:rFonts w:eastAsia="Calibri"/>
          <w:sz w:val="28"/>
          <w:szCs w:val="32"/>
          <w:lang w:val="uk-UA" w:eastAsia="en-US"/>
        </w:rPr>
        <w:t xml:space="preserve">додаткових угод до контрактів.</w:t>
      </w:r>
      <w:r>
        <w:rPr>
          <w:rFonts w:eastAsia="Calibri"/>
          <w:sz w:val="28"/>
          <w:szCs w:val="32"/>
          <w:lang w:val="uk-UA" w:eastAsia="en-US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підвищили кваліфікацію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758 державних службовців місцевих органів виконавчої влади. </w:t>
      </w:r>
      <w:r>
        <w:rPr>
          <w:sz w:val="28"/>
          <w:szCs w:val="28"/>
          <w:lang w:val="uk-UA"/>
        </w:rPr>
        <w:t xml:space="preserve">У тематиці навчань посилився прикладний та безпековий компонент, з</w:t>
      </w:r>
      <w:r>
        <w:rPr>
          <w:sz w:val="28"/>
          <w:szCs w:val="28"/>
          <w:lang w:val="en-US"/>
        </w:rPr>
        <w:t xml:space="preserve">’</w:t>
      </w:r>
      <w:r>
        <w:rPr>
          <w:sz w:val="28"/>
          <w:szCs w:val="28"/>
          <w:lang w:val="uk-UA"/>
        </w:rPr>
        <w:t xml:space="preserve">явилася низка нових програм відповідно до потреб органів державної виконавчої влади:</w:t>
      </w:r>
      <w:r>
        <w:rPr>
          <w:sz w:val="28"/>
          <w:szCs w:val="28"/>
          <w:lang w:val="uk-UA"/>
        </w:rPr>
        <w:t xml:space="preserve"> безпека особистості та ментальне здоров’я, державна ветеранська політика, доступна жестова мова для надання адміністративних послуг, ефективні комунікації, організація внутрішнього контролю та Soft skills</w:t>
      </w:r>
      <w:r>
        <w:rPr>
          <w:sz w:val="28"/>
          <w:szCs w:val="28"/>
          <w:lang w:val="uk-UA"/>
        </w:rPr>
        <w:t xml:space="preserve"> тощо</w:t>
      </w:r>
      <w:r>
        <w:rPr>
          <w:sz w:val="28"/>
          <w:szCs w:val="28"/>
          <w:lang w:val="uk-UA"/>
        </w:rPr>
        <w:t xml:space="preserve">. Переважна частина навчань проведена дистанційно через систему 3СХ.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Нагороджено</w:t>
      </w:r>
      <w:r>
        <w:rPr>
          <w:sz w:val="28"/>
          <w:szCs w:val="28"/>
          <w:lang w:val="uk-UA"/>
        </w:rPr>
        <w:t xml:space="preserve">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за указами Президента України</w:t>
      </w:r>
      <w:r>
        <w:rPr>
          <w:sz w:val="28"/>
          <w:szCs w:val="28"/>
          <w:lang w:val="uk-UA"/>
        </w:rPr>
        <w:t xml:space="preserve"> 76 жителів області (орден</w:t>
      </w:r>
      <w:r>
        <w:rPr>
          <w:sz w:val="28"/>
          <w:szCs w:val="28"/>
          <w:lang w:val="uk-UA"/>
        </w:rPr>
        <w:t xml:space="preserve">ами </w:t>
      </w:r>
      <w:r>
        <w:rPr>
          <w:sz w:val="28"/>
          <w:szCs w:val="28"/>
          <w:lang w:val="uk-UA"/>
        </w:rPr>
        <w:t xml:space="preserve">– 20</w:t>
      </w:r>
      <w:r>
        <w:rPr>
          <w:sz w:val="28"/>
          <w:szCs w:val="28"/>
          <w:lang w:val="uk-UA"/>
        </w:rPr>
        <w:t xml:space="preserve"> осіб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медал</w:t>
      </w:r>
      <w:r>
        <w:rPr>
          <w:sz w:val="28"/>
          <w:szCs w:val="28"/>
          <w:lang w:val="uk-UA"/>
        </w:rPr>
        <w:t xml:space="preserve">ями</w:t>
      </w:r>
      <w:r>
        <w:rPr>
          <w:sz w:val="28"/>
          <w:szCs w:val="28"/>
          <w:lang w:val="uk-UA"/>
        </w:rPr>
        <w:t xml:space="preserve"> – 4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почесн</w:t>
      </w:r>
      <w:r>
        <w:rPr>
          <w:sz w:val="28"/>
          <w:szCs w:val="28"/>
          <w:lang w:val="uk-UA"/>
        </w:rPr>
        <w:t xml:space="preserve">ими</w:t>
      </w:r>
      <w:r>
        <w:rPr>
          <w:sz w:val="28"/>
          <w:szCs w:val="28"/>
          <w:lang w:val="uk-UA"/>
        </w:rPr>
        <w:t xml:space="preserve"> звання</w:t>
      </w:r>
      <w:r>
        <w:rPr>
          <w:sz w:val="28"/>
          <w:szCs w:val="28"/>
          <w:lang w:val="uk-UA"/>
        </w:rPr>
        <w:t xml:space="preserve">ми</w:t>
      </w:r>
      <w:r>
        <w:rPr>
          <w:sz w:val="28"/>
          <w:szCs w:val="28"/>
          <w:lang w:val="uk-UA"/>
        </w:rPr>
        <w:t xml:space="preserve"> – 46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у т.ч. «Мати-героїня»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– 38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відзнак</w:t>
      </w:r>
      <w:r>
        <w:rPr>
          <w:sz w:val="28"/>
          <w:szCs w:val="28"/>
          <w:lang w:val="uk-UA"/>
        </w:rPr>
        <w:t xml:space="preserve">ами</w:t>
      </w:r>
      <w:r>
        <w:rPr>
          <w:sz w:val="28"/>
          <w:szCs w:val="28"/>
          <w:lang w:val="uk-UA"/>
        </w:rPr>
        <w:t xml:space="preserve"> Президента України</w:t>
      </w:r>
      <w:r>
        <w:rPr>
          <w:sz w:val="28"/>
          <w:szCs w:val="28"/>
          <w:lang w:val="uk-UA"/>
        </w:rPr>
        <w:t xml:space="preserve"> – 6 осіб (</w:t>
      </w:r>
      <w:r>
        <w:rPr>
          <w:sz w:val="28"/>
          <w:szCs w:val="28"/>
          <w:lang w:val="uk-UA"/>
        </w:rPr>
        <w:t xml:space="preserve">«Золоте серце» – 1, «Майбутнє України» – 2;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звання Герой України (посмертно)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– 3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; в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ідзнаками Кабінету Міністрів України</w:t>
      </w:r>
      <w:r>
        <w:rPr>
          <w:sz w:val="28"/>
          <w:szCs w:val="28"/>
          <w:lang w:val="uk-UA"/>
        </w:rPr>
        <w:t xml:space="preserve"> – 22 особи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Почесна грамота – 12;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Подяка Прем’єр-міністра – 2;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цінний подарунок – 8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,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Грамотою Верховної Ради України</w:t>
      </w:r>
      <w:r>
        <w:rPr>
          <w:sz w:val="28"/>
          <w:szCs w:val="28"/>
          <w:lang w:val="uk-UA"/>
        </w:rPr>
        <w:t xml:space="preserve"> – 1 особу,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rStyle w:val="788"/>
          <w:b w:val="0"/>
          <w:bCs w:val="0"/>
          <w:sz w:val="28"/>
          <w:szCs w:val="28"/>
          <w:lang w:val="uk-UA"/>
        </w:rPr>
        <w:t xml:space="preserve">Подякою Комітету Верховної Ради України з питань здоров’я нації, медичної допомоги та медичного страхування</w:t>
      </w:r>
      <w:r>
        <w:rPr>
          <w:sz w:val="28"/>
          <w:szCs w:val="28"/>
          <w:lang w:val="uk-UA"/>
        </w:rPr>
        <w:t xml:space="preserve"> – 2 особи.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Забезпечено передачу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453 державних нагород України</w:t>
      </w:r>
      <w:r>
        <w:rPr>
          <w:sz w:val="28"/>
          <w:szCs w:val="28"/>
          <w:lang w:val="uk-UA"/>
        </w:rPr>
        <w:t xml:space="preserve"> сім’ям загиблих військовослужбовців та цивільних мешканців області, нагороджених</w:t>
      </w:r>
      <w:r>
        <w:rPr>
          <w:sz w:val="28"/>
          <w:szCs w:val="28"/>
          <w:lang w:val="uk-UA"/>
        </w:rPr>
        <w:t xml:space="preserve"> посмертно, зокрема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413 орденів, 28 медалей, 8 відзнак Президента України «За оборону України» та нагрудних знаків до них, а також 4 відзнак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Головнокомандувача Збройних Сил України «Комбатантський хрест» та «Золотий хрест».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державних і професійних свят вручено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Почесн</w:t>
      </w:r>
      <w:r>
        <w:rPr>
          <w:sz w:val="28"/>
          <w:szCs w:val="28"/>
          <w:lang w:val="uk-UA"/>
        </w:rPr>
        <w:t xml:space="preserve">их</w:t>
      </w:r>
      <w:r>
        <w:rPr>
          <w:sz w:val="28"/>
          <w:szCs w:val="28"/>
          <w:lang w:val="uk-UA"/>
        </w:rPr>
        <w:t xml:space="preserve"> грамот обласної державної адміністрації та обласної ради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278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Почесн</w:t>
      </w:r>
      <w:r>
        <w:rPr>
          <w:sz w:val="28"/>
          <w:szCs w:val="28"/>
          <w:lang w:val="uk-UA"/>
        </w:rPr>
        <w:t xml:space="preserve">их</w:t>
      </w:r>
      <w:r>
        <w:rPr>
          <w:sz w:val="28"/>
          <w:szCs w:val="28"/>
          <w:lang w:val="uk-UA"/>
        </w:rPr>
        <w:t xml:space="preserve"> грамот обласної державної адміністрації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027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Подяк голови </w:t>
      </w:r>
      <w:r>
        <w:rPr>
          <w:sz w:val="28"/>
          <w:szCs w:val="28"/>
          <w:lang w:val="uk-UA"/>
        </w:rPr>
        <w:t xml:space="preserve">Чернігівської </w:t>
      </w:r>
      <w:r>
        <w:rPr>
          <w:sz w:val="28"/>
          <w:szCs w:val="28"/>
          <w:lang w:val="uk-UA"/>
        </w:rPr>
        <w:t xml:space="preserve">обласної державної адміністрації.</w:t>
      </w:r>
      <w:r>
        <w:rPr>
          <w:sz w:val="28"/>
          <w:szCs w:val="28"/>
          <w:lang w:val="uk-UA"/>
        </w:rPr>
      </w:r>
    </w:p>
    <w:p>
      <w:pPr>
        <w:pBdr/>
        <w:spacing w:after="120"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II. БЕЗПЕКА РЕГІОНУ ТА ЦИВІЛЬНИЙ ЗАХИСТ НАСЕЛЕННЯ</w:t>
      </w:r>
      <w:r>
        <w:rPr>
          <w:b/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/>
      <w:bookmarkStart w:id="2" w:name="_Hlk126751269"/>
      <w:r>
        <w:rPr>
          <w:sz w:val="28"/>
          <w:szCs w:val="28"/>
          <w:lang w:val="uk-UA"/>
        </w:rPr>
        <w:t xml:space="preserve">Д</w:t>
      </w:r>
      <w:r>
        <w:rPr>
          <w:sz w:val="28"/>
          <w:szCs w:val="28"/>
          <w:lang w:val="uk-UA"/>
        </w:rPr>
        <w:t xml:space="preserve">іяльність органів державної влади та місцевого самоврядування області здійснювалася в умовах </w:t>
      </w:r>
      <w:r>
        <w:rPr>
          <w:sz w:val="28"/>
          <w:szCs w:val="28"/>
          <w:lang w:val="uk-UA"/>
        </w:rPr>
        <w:t xml:space="preserve">збройної агресії російської федерації проти України.</w:t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2025 року ворог здійснив 11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347 обстрілів території області (24 150 приходів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/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прильотів). Внаслідок обстрілів прикордоння загинули 14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цивільних осіб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83 цивільні особи отримали поранення.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чинного законодавства у 202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році продовжено:</w:t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комендантську годину, особливий режим в’їзду і виїзду, обмеження свободи пересування громадян, руху транспортних засобів, перевірку документів у осіб, огляд речей, транспортних засобів;</w:t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заборону відвідування лісів населенням;</w:t>
      </w:r>
      <w:r>
        <w:rPr>
          <w:sz w:val="28"/>
          <w:szCs w:val="28"/>
          <w:lang w:val="uk-UA"/>
        </w:rPr>
      </w:r>
    </w:p>
    <w:p>
      <w:pPr>
        <w:pBdr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заборону навігації на всіх водних об’єктах області.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Для потреб Сил безпеки та оборони відповідно до обласних програм </w:t>
      </w:r>
      <w:r>
        <w:rPr>
          <w:sz w:val="28"/>
          <w:szCs w:val="28"/>
          <w:lang w:val="uk-UA"/>
        </w:rPr>
        <w:t xml:space="preserve">спрямовано </w:t>
      </w:r>
      <w:r>
        <w:rPr>
          <w:sz w:val="28"/>
          <w:szCs w:val="28"/>
          <w:lang w:val="uk-UA"/>
        </w:rPr>
        <w:t xml:space="preserve">близько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млн грн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обладнання та засоби для протидії ворожим </w:t>
      </w:r>
      <w:r>
        <w:rPr>
          <w:sz w:val="28"/>
          <w:szCs w:val="28"/>
          <w:lang w:val="uk-UA"/>
        </w:rPr>
        <w:t xml:space="preserve">ударним дронам; </w:t>
      </w:r>
      <w:r>
        <w:rPr>
          <w:sz w:val="28"/>
          <w:szCs w:val="28"/>
          <w:lang w:val="uk-UA"/>
        </w:rPr>
        <w:t xml:space="preserve">матеріально-технічне забезпечення військових частин</w:t>
      </w:r>
      <w:r>
        <w:rPr>
          <w:sz w:val="28"/>
          <w:szCs w:val="28"/>
          <w:lang w:val="uk-UA"/>
        </w:rPr>
        <w:t xml:space="preserve">, у тому числі через надання субвенцій державному бюджету; матеріально-технічне забезпечення будівництва, утримання, охорони та нароще</w:t>
      </w:r>
      <w:r>
        <w:rPr>
          <w:sz w:val="28"/>
          <w:szCs w:val="28"/>
          <w:lang w:val="uk-UA"/>
        </w:rPr>
        <w:t xml:space="preserve">ння військових інженерно-технічних та фортифікаційних споруд на території області, зокрема придбання обладнання, транспортних засобів; забезпечення технічними засобами охорони органів і підрозділів прикриття державного кордону в межах Чернігівської області</w:t>
      </w:r>
      <w:r>
        <w:rPr>
          <w:sz w:val="28"/>
          <w:szCs w:val="28"/>
          <w:lang w:val="uk-UA"/>
        </w:rPr>
        <w:t xml:space="preserve"> тощо</w:t>
      </w:r>
      <w:r>
        <w:rPr>
          <w:sz w:val="28"/>
          <w:szCs w:val="28"/>
          <w:lang w:val="uk-UA"/>
        </w:rPr>
        <w:t xml:space="preserve">). </w:t>
      </w:r>
      <w:r>
        <w:rPr>
          <w:sz w:val="28"/>
          <w:szCs w:val="28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</w:t>
      </w:r>
      <w:r>
        <w:rPr>
          <w:sz w:val="28"/>
          <w:szCs w:val="28"/>
          <w:lang w:val="uk-UA"/>
        </w:rPr>
        <w:t xml:space="preserve">а кошти платформи UNITED24 придбано та передано військовим частинам засоби РЕБ і БПЛА на 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Єдина державна система цивільного захисту у 2025 році функціонувала у режимі «Повна готовність». Фонд захисних споруд області налічував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458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об’єктів, з яких 592 – захисні споруди цивільного захисту, 20 – споруди подвійного призначення,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846 – найпростіші укриття. На їх утримання та приведення у готовність органами місцевого самоврядування і балансоутримувачами освоєно понад 108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Фахівцями ДСНС </w:t>
      </w:r>
      <w:r>
        <w:rPr>
          <w:sz w:val="28"/>
          <w:szCs w:val="28"/>
          <w:lang w:val="uk-UA"/>
        </w:rPr>
        <w:t xml:space="preserve">спільно з органами </w:t>
      </w:r>
      <w:r>
        <w:rPr>
          <w:sz w:val="28"/>
          <w:szCs w:val="28"/>
          <w:lang w:val="uk-UA"/>
        </w:rPr>
        <w:t xml:space="preserve">державної </w:t>
      </w:r>
      <w:r>
        <w:rPr>
          <w:sz w:val="28"/>
          <w:szCs w:val="28"/>
          <w:lang w:val="uk-UA"/>
        </w:rPr>
        <w:t xml:space="preserve">влади </w:t>
      </w:r>
      <w:r>
        <w:rPr>
          <w:sz w:val="28"/>
          <w:szCs w:val="28"/>
          <w:lang w:val="uk-UA"/>
        </w:rPr>
        <w:t xml:space="preserve">та місцевого самоврядування </w:t>
      </w:r>
      <w:r>
        <w:rPr>
          <w:sz w:val="28"/>
          <w:szCs w:val="28"/>
          <w:lang w:val="uk-UA"/>
        </w:rPr>
        <w:t xml:space="preserve">у 2025 році проведено обстеження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045 захисних споруд, з яких </w:t>
      </w:r>
      <w:r>
        <w:rPr>
          <w:sz w:val="28"/>
          <w:szCs w:val="28"/>
          <w:lang w:val="uk-UA"/>
        </w:rPr>
        <w:t xml:space="preserve">98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визнано придатними для використання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Здійснено розрахунок </w:t>
      </w:r>
      <w:r>
        <w:rPr>
          <w:sz w:val="28"/>
          <w:szCs w:val="28"/>
          <w:lang w:val="uk-UA"/>
        </w:rPr>
        <w:t xml:space="preserve">евакуації населення з 20-кілометрової зони від державного кордону з російською федерацією. Так, </w:t>
      </w:r>
      <w:r>
        <w:rPr>
          <w:sz w:val="28"/>
          <w:szCs w:val="28"/>
          <w:shd w:val="clear" w:color="auto" w:fill="ffffff"/>
          <w:lang w:val="uk-UA"/>
        </w:rPr>
        <w:t xml:space="preserve">станом на 01</w:t>
      </w:r>
      <w:r>
        <w:rPr>
          <w:sz w:val="28"/>
          <w:szCs w:val="28"/>
          <w:shd w:val="clear" w:color="auto" w:fill="ffffff"/>
          <w:lang w:val="uk-UA"/>
        </w:rPr>
        <w:t xml:space="preserve">.01.</w:t>
      </w:r>
      <w:r>
        <w:rPr>
          <w:sz w:val="28"/>
          <w:szCs w:val="28"/>
          <w:shd w:val="clear" w:color="auto" w:fill="ffffff"/>
          <w:lang w:val="uk-UA"/>
        </w:rPr>
        <w:t xml:space="preserve">2025 евакуації підлягал</w:t>
      </w:r>
      <w:r>
        <w:rPr>
          <w:sz w:val="28"/>
          <w:szCs w:val="28"/>
          <w:shd w:val="clear" w:color="auto" w:fill="ffffff"/>
          <w:lang w:val="uk-UA"/>
        </w:rPr>
        <w:t xml:space="preserve">и</w:t>
      </w:r>
      <w:r>
        <w:rPr>
          <w:sz w:val="28"/>
          <w:szCs w:val="28"/>
          <w:shd w:val="clear" w:color="auto" w:fill="ffffff"/>
          <w:lang w:val="uk-UA"/>
        </w:rPr>
        <w:t xml:space="preserve">15 496 осіб, з них 1 824 дитини та 1 612 осіб з інвалідністю і </w:t>
      </w:r>
      <w:r>
        <w:rPr>
          <w:sz w:val="28"/>
          <w:szCs w:val="28"/>
          <w:shd w:val="clear" w:color="auto" w:fill="ffffff"/>
          <w:lang w:val="uk-UA"/>
        </w:rPr>
        <w:t xml:space="preserve">пенсіонерів, </w:t>
      </w:r>
      <w:r>
        <w:rPr>
          <w:sz w:val="28"/>
          <w:szCs w:val="28"/>
          <w:shd w:val="clear" w:color="auto" w:fill="ffffff"/>
          <w:lang w:val="uk-UA"/>
        </w:rPr>
        <w:t xml:space="preserve">які</w:t>
      </w:r>
      <w:r>
        <w:rPr>
          <w:sz w:val="28"/>
          <w:szCs w:val="28"/>
          <w:shd w:val="clear" w:color="auto" w:fill="ffffff"/>
          <w:lang w:val="uk-UA"/>
        </w:rPr>
        <w:t xml:space="preserve"> проживають самостійно</w:t>
      </w:r>
      <w:r>
        <w:rPr>
          <w:sz w:val="28"/>
          <w:szCs w:val="28"/>
          <w:shd w:val="clear" w:color="auto" w:fill="ffffff"/>
          <w:lang w:val="uk-UA"/>
        </w:rPr>
        <w:t xml:space="preserve">. Протягом 2025 року було переміщено 1 463 особи, з них 295 дітей та 111 осіб з інвалідністю і </w:t>
      </w:r>
      <w:r>
        <w:rPr>
          <w:sz w:val="28"/>
          <w:szCs w:val="28"/>
          <w:shd w:val="clear" w:color="auto" w:fill="ffffff"/>
          <w:lang w:val="uk-UA"/>
        </w:rPr>
        <w:t xml:space="preserve">пенсіонерів, які проживають самостійно.</w:t>
      </w:r>
      <w:r>
        <w:rPr>
          <w:sz w:val="28"/>
          <w:szCs w:val="28"/>
          <w:shd w:val="clear" w:color="auto" w:fill="ffffff"/>
          <w:lang w:val="uk-UA"/>
        </w:rPr>
        <w:t xml:space="preserve"> Для проведення заходів з евакуації з прикордонних</w:t>
      </w:r>
      <w:r>
        <w:rPr>
          <w:sz w:val="28"/>
          <w:szCs w:val="28"/>
          <w:shd w:val="clear" w:color="auto" w:fill="ffffff"/>
          <w:lang w:val="uk-UA"/>
        </w:rPr>
        <w:t xml:space="preserve"> населених </w:t>
      </w:r>
      <w:r>
        <w:rPr>
          <w:sz w:val="28"/>
          <w:szCs w:val="28"/>
          <w:shd w:val="clear" w:color="auto" w:fill="ffffff"/>
          <w:lang w:val="uk-UA"/>
        </w:rPr>
        <w:t xml:space="preserve">пунктів</w:t>
      </w:r>
      <w:r>
        <w:rPr>
          <w:sz w:val="28"/>
          <w:szCs w:val="28"/>
          <w:shd w:val="clear" w:color="auto" w:fill="ffffff"/>
          <w:lang w:val="uk-UA"/>
        </w:rPr>
        <w:t xml:space="preserve"> були</w:t>
      </w:r>
      <w:r>
        <w:rPr>
          <w:sz w:val="28"/>
          <w:szCs w:val="28"/>
          <w:shd w:val="clear" w:color="auto" w:fill="ffffff"/>
          <w:lang w:val="uk-UA"/>
        </w:rPr>
        <w:t xml:space="preserve"> у готовності 66 автобусів (шкільні та приватні), які одночасно </w:t>
      </w:r>
      <w:r>
        <w:rPr>
          <w:sz w:val="28"/>
          <w:szCs w:val="28"/>
          <w:shd w:val="clear" w:color="auto" w:fill="ffffff"/>
          <w:lang w:val="uk-UA"/>
        </w:rPr>
        <w:t xml:space="preserve">могли</w:t>
      </w:r>
      <w:r>
        <w:rPr>
          <w:sz w:val="28"/>
          <w:szCs w:val="28"/>
          <w:shd w:val="clear" w:color="auto" w:fill="ffffff"/>
          <w:lang w:val="uk-UA"/>
        </w:rPr>
        <w:t xml:space="preserve"> перевезти 1 769 осіб.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2025 році продовжилося проведення </w:t>
      </w:r>
      <w:r>
        <w:rPr>
          <w:sz w:val="28"/>
          <w:szCs w:val="28"/>
          <w:lang w:val="uk-UA"/>
        </w:rPr>
        <w:t xml:space="preserve">заход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з гуманітарного розмінування </w:t>
      </w:r>
      <w:r>
        <w:rPr>
          <w:sz w:val="28"/>
          <w:szCs w:val="28"/>
          <w:lang w:val="uk-UA"/>
        </w:rPr>
        <w:t xml:space="preserve">території області </w:t>
      </w:r>
      <w:r>
        <w:rPr>
          <w:sz w:val="28"/>
          <w:szCs w:val="28"/>
          <w:lang w:val="uk-UA"/>
        </w:rPr>
        <w:t xml:space="preserve">силами державних та сертифікованих неурядових операторів. Загалом</w:t>
      </w:r>
      <w:r>
        <w:rPr>
          <w:sz w:val="28"/>
          <w:szCs w:val="28"/>
          <w:lang w:val="uk-UA"/>
        </w:rPr>
        <w:t xml:space="preserve"> обстежено понад 48 тис. га, розміновано понад 46 тис. га, виявлено та знешкоджено більше 95 тис. вибухонебезпечних предметів. </w:t>
      </w:r>
      <w:r>
        <w:rPr>
          <w:sz w:val="28"/>
          <w:szCs w:val="28"/>
          <w:lang w:val="uk-UA"/>
        </w:rPr>
        <w:t xml:space="preserve">Зокрема, у</w:t>
      </w:r>
      <w:r>
        <w:rPr>
          <w:sz w:val="28"/>
          <w:szCs w:val="28"/>
          <w:lang w:val="uk-UA"/>
        </w:rPr>
        <w:t xml:space="preserve"> 2025 році розміновано понад 1,3 тис. га, знешкоджено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723 вибухонебезпечні предмети. Проведено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081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інформування з мінної безпеки, охоплено 50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104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особи.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функціонує територіальна автоматизована система централізованого оповіщення, сигнали цивільного захисту доводяться через радіомовлення, мобільні застосунки, </w:t>
      </w:r>
      <w:r>
        <w:rPr>
          <w:sz w:val="28"/>
          <w:szCs w:val="28"/>
          <w:lang w:val="uk-UA"/>
        </w:rPr>
        <w:t xml:space="preserve">інтернет-ресурси та електросирени. Місцеві автоматизовані системи оповіщення </w:t>
      </w:r>
      <w:r>
        <w:rPr>
          <w:sz w:val="28"/>
          <w:szCs w:val="28"/>
          <w:lang w:val="uk-UA"/>
        </w:rPr>
        <w:t xml:space="preserve">діють</w:t>
      </w:r>
      <w:r>
        <w:rPr>
          <w:sz w:val="28"/>
          <w:szCs w:val="28"/>
          <w:lang w:val="uk-UA"/>
        </w:rPr>
        <w:t xml:space="preserve"> у 6 територіальних громадах, у межах модернізації встановлено кінцеві пристрої у 80 населених пунктах.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до регіонального матеріального резерву закладено матеріальні цінності на суму 2,7 млн грн, з яких 2,196 млн грн використано для ліквідації наслідків надзвичайних </w:t>
      </w:r>
      <w:r>
        <w:rPr>
          <w:sz w:val="28"/>
          <w:szCs w:val="28"/>
          <w:lang w:val="uk-UA"/>
        </w:rPr>
        <w:t xml:space="preserve">ситуацій.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забезпечення життєдіяльності населення в області </w:t>
      </w:r>
      <w:r>
        <w:rPr>
          <w:sz w:val="28"/>
          <w:szCs w:val="28"/>
          <w:lang w:val="uk-UA"/>
        </w:rPr>
        <w:t xml:space="preserve">з жовтня 2025 року </w:t>
      </w:r>
      <w:r>
        <w:rPr>
          <w:sz w:val="28"/>
          <w:szCs w:val="28"/>
          <w:lang w:val="uk-UA"/>
        </w:rPr>
        <w:t xml:space="preserve">розгорнуто </w:t>
      </w:r>
      <w:r>
        <w:rPr>
          <w:sz w:val="28"/>
          <w:szCs w:val="28"/>
          <w:lang w:val="uk-UA"/>
        </w:rPr>
        <w:t xml:space="preserve">більш ніж </w:t>
      </w: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пунктів незламності.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2025 року проведено 44 засідання Ради оборони Чернігівської області, на яких розглянуто актуальні питання забезпечення обороноздатності </w:t>
      </w:r>
      <w:r>
        <w:rPr>
          <w:sz w:val="28"/>
          <w:szCs w:val="28"/>
          <w:lang w:val="uk-UA"/>
        </w:rPr>
        <w:t xml:space="preserve">регіону, координації дій сил безпеки і оборони, посилення охорони об’єктів критичної інфраструктури, організації заходів територіальної оборони та реагування на загрози безпеці населення.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 відбулося 8 засідань обласної комісії з питань техногенно-екологічної без</w:t>
      </w:r>
      <w:r>
        <w:rPr>
          <w:sz w:val="28"/>
          <w:szCs w:val="28"/>
          <w:lang w:val="uk-UA"/>
        </w:rPr>
        <w:t xml:space="preserve">пеки та надзвичайних ситуацій, під час яких розглянуто питання запобігання та реагування на надзвичайні ситуації, забезпечення стабільного функціонування систем життєзабезпечення, ліквідації наслідків надзвичайних подій та організації превентивних заходів.</w:t>
      </w:r>
      <w:bookmarkEnd w:id="2"/>
      <w:r>
        <w:rPr>
          <w:sz w:val="28"/>
          <w:szCs w:val="28"/>
          <w:lang w:val="uk-UA"/>
        </w:rPr>
      </w:r>
    </w:p>
    <w:p>
      <w:pPr>
        <w:pBdr/>
        <w:spacing w:after="12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ІІІ.</w:t>
      </w:r>
      <w:r>
        <w:rPr>
          <w:b/>
          <w:sz w:val="28"/>
          <w:szCs w:val="28"/>
          <w:lang w:val="uk-UA"/>
        </w:rPr>
        <w:t xml:space="preserve"> </w:t>
      </w:r>
      <w:r>
        <w:rPr>
          <w:b/>
          <w:sz w:val="28"/>
          <w:szCs w:val="28"/>
          <w:lang w:val="uk-UA"/>
        </w:rPr>
        <w:t xml:space="preserve">СПІВПРАЦЯ З ОРГАНАМИ МІСЦЕВОГО САМОВРЯДУВАННЯ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Упродовж </w:t>
      </w:r>
      <w:r>
        <w:rPr>
          <w:bCs/>
          <w:sz w:val="28"/>
          <w:szCs w:val="28"/>
          <w:lang w:val="uk-UA"/>
        </w:rPr>
        <w:t xml:space="preserve">202</w:t>
      </w:r>
      <w:r>
        <w:rPr>
          <w:bCs/>
          <w:sz w:val="28"/>
          <w:szCs w:val="28"/>
          <w:lang w:val="uk-UA"/>
        </w:rPr>
        <w:t xml:space="preserve">5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року </w:t>
      </w:r>
      <w:r>
        <w:rPr>
          <w:bCs/>
          <w:sz w:val="28"/>
          <w:szCs w:val="28"/>
          <w:lang w:val="uk-UA"/>
        </w:rPr>
        <w:t xml:space="preserve">забезпечено злагоджену співпрацю</w:t>
      </w:r>
      <w:r>
        <w:rPr>
          <w:bCs/>
          <w:sz w:val="28"/>
          <w:szCs w:val="28"/>
          <w:lang w:val="uk-UA"/>
        </w:rPr>
        <w:t xml:space="preserve"> обласної державної адміністрації</w:t>
      </w:r>
      <w:r>
        <w:rPr>
          <w:bCs/>
          <w:sz w:val="28"/>
          <w:szCs w:val="28"/>
          <w:lang w:val="uk-UA"/>
        </w:rPr>
        <w:t xml:space="preserve"> з усіма 57 громадами області. </w:t>
      </w:r>
      <w:r>
        <w:rPr>
          <w:bCs/>
          <w:sz w:val="28"/>
          <w:szCs w:val="28"/>
          <w:lang w:val="uk-UA"/>
        </w:rPr>
      </w:r>
    </w:p>
    <w:p>
      <w:pPr>
        <w:pBdr/>
        <w:spacing w:after="4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</w:t>
      </w:r>
      <w:r>
        <w:rPr>
          <w:bCs/>
          <w:sz w:val="28"/>
          <w:szCs w:val="28"/>
          <w:lang w:val="uk-UA"/>
        </w:rPr>
        <w:t xml:space="preserve">а участю керівництва </w:t>
      </w:r>
      <w:r>
        <w:rPr>
          <w:bCs/>
          <w:sz w:val="28"/>
          <w:szCs w:val="28"/>
          <w:lang w:val="uk-UA"/>
        </w:rPr>
        <w:t xml:space="preserve">обл</w:t>
      </w:r>
      <w:r>
        <w:rPr>
          <w:bCs/>
          <w:sz w:val="28"/>
          <w:szCs w:val="28"/>
          <w:lang w:val="uk-UA"/>
        </w:rPr>
        <w:t xml:space="preserve">асної </w:t>
      </w:r>
      <w:r>
        <w:rPr>
          <w:bCs/>
          <w:sz w:val="28"/>
          <w:szCs w:val="28"/>
          <w:lang w:val="uk-UA"/>
        </w:rPr>
        <w:t xml:space="preserve">держа</w:t>
      </w:r>
      <w:r>
        <w:rPr>
          <w:bCs/>
          <w:sz w:val="28"/>
          <w:szCs w:val="28"/>
          <w:lang w:val="uk-UA"/>
        </w:rPr>
        <w:t xml:space="preserve">вної а</w:t>
      </w:r>
      <w:r>
        <w:rPr>
          <w:bCs/>
          <w:sz w:val="28"/>
          <w:szCs w:val="28"/>
          <w:lang w:val="uk-UA"/>
        </w:rPr>
        <w:t xml:space="preserve">дміністрації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районних державних адміністрацій, </w:t>
      </w:r>
      <w:r>
        <w:rPr>
          <w:bCs/>
          <w:sz w:val="28"/>
          <w:szCs w:val="28"/>
          <w:lang w:val="uk-UA"/>
        </w:rPr>
        <w:t xml:space="preserve">керівників структурних підрозділів </w:t>
      </w:r>
      <w:r>
        <w:rPr>
          <w:bCs/>
          <w:sz w:val="28"/>
          <w:szCs w:val="28"/>
          <w:lang w:val="uk-UA"/>
        </w:rPr>
        <w:t xml:space="preserve">обласної державної адміністрації</w:t>
      </w:r>
      <w:r>
        <w:rPr>
          <w:bCs/>
          <w:sz w:val="28"/>
          <w:szCs w:val="28"/>
          <w:lang w:val="uk-UA"/>
        </w:rPr>
        <w:t xml:space="preserve">, представників правоохоронних органів, </w:t>
      </w:r>
      <w:r>
        <w:rPr>
          <w:bCs/>
          <w:sz w:val="28"/>
          <w:szCs w:val="28"/>
          <w:lang w:val="uk-UA"/>
        </w:rPr>
        <w:t xml:space="preserve">керівників </w:t>
      </w:r>
      <w:r>
        <w:rPr>
          <w:bCs/>
          <w:sz w:val="28"/>
          <w:szCs w:val="28"/>
          <w:lang w:val="uk-UA"/>
        </w:rPr>
        <w:t xml:space="preserve">територіальних </w:t>
      </w:r>
      <w:r>
        <w:rPr>
          <w:bCs/>
          <w:sz w:val="28"/>
          <w:szCs w:val="28"/>
          <w:lang w:val="uk-UA"/>
        </w:rPr>
        <w:t xml:space="preserve">громад </w:t>
      </w:r>
      <w:r>
        <w:rPr>
          <w:bCs/>
          <w:sz w:val="28"/>
          <w:szCs w:val="28"/>
          <w:lang w:val="uk-UA"/>
        </w:rPr>
        <w:t xml:space="preserve">проведено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низку</w:t>
      </w:r>
      <w:r>
        <w:rPr>
          <w:bCs/>
          <w:sz w:val="28"/>
          <w:szCs w:val="28"/>
          <w:lang w:val="uk-UA"/>
        </w:rPr>
        <w:t xml:space="preserve"> нарад</w:t>
      </w:r>
      <w:r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у ході яких </w:t>
      </w:r>
      <w:r>
        <w:rPr>
          <w:bCs/>
          <w:sz w:val="28"/>
          <w:szCs w:val="28"/>
          <w:lang w:val="uk-UA"/>
        </w:rPr>
        <w:t xml:space="preserve">обговорено</w:t>
      </w:r>
      <w:r>
        <w:rPr>
          <w:bCs/>
          <w:sz w:val="28"/>
          <w:szCs w:val="28"/>
          <w:lang w:val="uk-UA"/>
        </w:rPr>
        <w:t xml:space="preserve"> стан соціально-економічного розвитку та проблематику громад. </w:t>
      </w:r>
      <w:r>
        <w:rPr>
          <w:bCs/>
          <w:sz w:val="28"/>
          <w:szCs w:val="28"/>
          <w:lang w:val="uk-UA"/>
        </w:rPr>
      </w:r>
    </w:p>
    <w:p>
      <w:pPr>
        <w:pBdr/>
        <w:spacing w:after="4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2025 році начальником Чернігівської обласної військової адміністрації здійснено понад 35 робочих поїздок до територіальних громад області</w:t>
      </w:r>
      <w:r>
        <w:rPr>
          <w:bCs/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</w:t>
      </w:r>
      <w:r>
        <w:rPr>
          <w:bCs/>
          <w:sz w:val="28"/>
          <w:szCs w:val="28"/>
          <w:lang w:val="uk-UA"/>
        </w:rPr>
        <w:t xml:space="preserve">ід час </w:t>
      </w:r>
      <w:r>
        <w:rPr>
          <w:bCs/>
          <w:sz w:val="28"/>
          <w:szCs w:val="28"/>
          <w:lang w:val="uk-UA"/>
        </w:rPr>
        <w:t xml:space="preserve">яких</w:t>
      </w:r>
      <w:r>
        <w:rPr>
          <w:bCs/>
          <w:sz w:val="28"/>
          <w:szCs w:val="28"/>
          <w:lang w:val="uk-UA"/>
        </w:rPr>
        <w:t xml:space="preserve"> опрацьовано питання реалізації державних програм, актуальні проблеми життєдіяльності громад, зокрема у сфері безпеки, включаючи евакуаційні заходи, підготовку до стабільного проходження осінньо-зимового періоду, захис</w:t>
      </w:r>
      <w:r>
        <w:rPr>
          <w:bCs/>
          <w:sz w:val="28"/>
          <w:szCs w:val="28"/>
          <w:lang w:val="uk-UA"/>
        </w:rPr>
        <w:t xml:space="preserve">т об’єктів критичної інфраструктури та забезпечення безперебійної роботи закладів охорони здоров’я, освіти й соціальної сфери. За результатами візитів і нарад напрацьовано узгоджені рішення, спрямовані на підвищення рівня безпеки та якості життя населення.</w:t>
      </w:r>
      <w:r>
        <w:rPr>
          <w:bCs/>
          <w:sz w:val="28"/>
          <w:szCs w:val="28"/>
          <w:lang w:val="uk-UA"/>
        </w:rPr>
      </w:r>
    </w:p>
    <w:p>
      <w:pPr>
        <w:pBdr/>
        <w:spacing w:after="4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Продовжила роботу Рада територіальних громад Чернігівської області, до складу </w:t>
      </w:r>
      <w:r>
        <w:rPr>
          <w:bCs/>
          <w:sz w:val="28"/>
          <w:szCs w:val="28"/>
          <w:lang w:val="uk-UA"/>
        </w:rPr>
        <w:t xml:space="preserve">якої входять керівники громад та начальники районних військових адміністрацій. На</w:t>
      </w:r>
      <w:r>
        <w:rPr>
          <w:bCs/>
          <w:sz w:val="28"/>
          <w:szCs w:val="28"/>
          <w:lang w:val="uk-UA"/>
        </w:rPr>
        <w:t xml:space="preserve"> її</w:t>
      </w:r>
      <w:r>
        <w:rPr>
          <w:bCs/>
          <w:sz w:val="28"/>
          <w:szCs w:val="28"/>
          <w:lang w:val="uk-UA"/>
        </w:rPr>
        <w:t xml:space="preserve"> засіданні </w:t>
      </w:r>
      <w:r>
        <w:rPr>
          <w:bCs/>
          <w:sz w:val="28"/>
          <w:szCs w:val="28"/>
          <w:lang w:val="uk-UA"/>
        </w:rPr>
        <w:t xml:space="preserve">у серпні 2025 року </w:t>
      </w:r>
      <w:r>
        <w:rPr>
          <w:bCs/>
          <w:sz w:val="28"/>
          <w:szCs w:val="28"/>
          <w:lang w:val="uk-UA"/>
        </w:rPr>
        <w:t xml:space="preserve">розглянуто питання використання освітньої субвенції, адміністрування місцевих податків і зборів, пріоритетів надання медичної допомоги, а також презентовано проєкт «Розвиток</w:t>
      </w:r>
      <w:r>
        <w:rPr>
          <w:bCs/>
          <w:sz w:val="28"/>
          <w:szCs w:val="28"/>
          <w:lang w:val="uk-UA"/>
        </w:rPr>
        <w:t xml:space="preserve"> амбулаторної реабілітаційної допомоги в Україні» та підписано відповідні меморандуми про співпрацю. За результатами обговорення ухвалено конструктивні рішення з актуальних питань.</w:t>
      </w:r>
      <w:r>
        <w:rPr>
          <w:bCs/>
          <w:sz w:val="28"/>
          <w:szCs w:val="28"/>
          <w:lang w:val="uk-UA"/>
        </w:rPr>
      </w:r>
    </w:p>
    <w:p>
      <w:pPr>
        <w:pBdr/>
        <w:spacing w:after="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Представники обласної та районних державних адміністрацій, а також органів </w:t>
      </w:r>
      <w:r>
        <w:rPr>
          <w:sz w:val="28"/>
          <w:szCs w:val="28"/>
          <w:lang w:val="uk-UA"/>
        </w:rPr>
        <w:t xml:space="preserve">місцевого самоврядування області взяли </w:t>
      </w:r>
      <w:r>
        <w:rPr>
          <w:sz w:val="28"/>
          <w:szCs w:val="28"/>
          <w:lang w:val="uk-UA"/>
        </w:rPr>
        <w:t xml:space="preserve">участь у </w:t>
      </w:r>
      <w:r>
        <w:rPr>
          <w:sz w:val="28"/>
          <w:szCs w:val="28"/>
          <w:lang w:val="uk-UA"/>
        </w:rPr>
        <w:t xml:space="preserve">дво</w:t>
      </w:r>
      <w:r>
        <w:rPr>
          <w:sz w:val="28"/>
          <w:szCs w:val="28"/>
          <w:lang w:val="uk-UA"/>
        </w:rPr>
        <w:t xml:space="preserve">х </w:t>
      </w:r>
      <w:r>
        <w:rPr>
          <w:sz w:val="28"/>
          <w:szCs w:val="28"/>
          <w:lang w:val="uk-UA"/>
        </w:rPr>
        <w:t xml:space="preserve">засідання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Конгресу місцевих та регіональних влад при Президентові України, </w:t>
      </w:r>
      <w:r>
        <w:rPr>
          <w:sz w:val="28"/>
          <w:szCs w:val="28"/>
          <w:lang w:val="uk-UA"/>
        </w:rPr>
        <w:t xml:space="preserve">трьох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засідання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Президії Конгресу, а також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Конгресов</w:t>
      </w:r>
      <w:r>
        <w:rPr>
          <w:sz w:val="28"/>
          <w:szCs w:val="28"/>
          <w:lang w:val="uk-UA"/>
        </w:rPr>
        <w:t xml:space="preserve">их</w:t>
      </w:r>
      <w:r>
        <w:rPr>
          <w:sz w:val="28"/>
          <w:szCs w:val="28"/>
          <w:lang w:val="uk-UA"/>
        </w:rPr>
        <w:t xml:space="preserve"> слухання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та засідання</w:t>
      </w:r>
      <w:r>
        <w:rPr>
          <w:sz w:val="28"/>
          <w:szCs w:val="28"/>
          <w:lang w:val="uk-UA"/>
        </w:rPr>
        <w:t xml:space="preserve">х</w:t>
      </w:r>
      <w:r>
        <w:rPr>
          <w:sz w:val="28"/>
          <w:szCs w:val="28"/>
          <w:lang w:val="uk-UA"/>
        </w:rPr>
        <w:t xml:space="preserve"> Комісій Конгресу.</w:t>
      </w:r>
      <w:r>
        <w:rPr>
          <w:sz w:val="28"/>
          <w:szCs w:val="28"/>
          <w:lang w:val="uk-UA"/>
        </w:rPr>
      </w:r>
    </w:p>
    <w:p>
      <w:pPr>
        <w:pBdr/>
        <w:spacing w:after="40"/>
        <w:ind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  <w:t xml:space="preserve">З метою забезпечення ефективної взаємодії між органами державної влади та місцевого самоврядування у пи</w:t>
      </w:r>
      <w:r>
        <w:rPr>
          <w:bCs/>
          <w:sz w:val="28"/>
          <w:szCs w:val="28"/>
          <w:shd w:val="clear" w:color="auto" w:fill="ffffff"/>
          <w:lang w:val="uk-UA"/>
        </w:rPr>
        <w:t xml:space="preserve">таннях формування пріоритетів державної регіональної політики й упровадження механізмів сталого розвитку територіальних громад діяв Чернігівський регіональний Офіс Конгресу місцевих і регіональних влад при Президентові України. Упродовж року проведено два </w:t>
      </w:r>
      <w:r>
        <w:rPr>
          <w:bCs/>
          <w:sz w:val="28"/>
          <w:szCs w:val="28"/>
          <w:shd w:val="clear" w:color="auto" w:fill="ffffff"/>
          <w:lang w:val="uk-UA"/>
        </w:rPr>
        <w:t xml:space="preserve">засідання за участю керівників територіальних громад і районних державних адміністрацій, під час яких розглянуто ключові питання регіонального розвитку, зокрема </w:t>
      </w:r>
      <w:r>
        <w:rPr>
          <w:bCs/>
          <w:sz w:val="28"/>
          <w:szCs w:val="28"/>
          <w:shd w:val="clear" w:color="auto" w:fill="ffffff"/>
          <w:lang w:val="uk-UA"/>
        </w:rPr>
        <w:t xml:space="preserve">стратегічне планування, </w:t>
      </w:r>
      <w:r>
        <w:rPr>
          <w:bCs/>
          <w:sz w:val="28"/>
          <w:szCs w:val="28"/>
          <w:shd w:val="clear" w:color="auto" w:fill="ffffff"/>
          <w:lang w:val="uk-UA"/>
        </w:rPr>
        <w:t xml:space="preserve">пріоритети використання коштів місцевих бюджетів, підготовку до опалювального сезону 2025/2026 року, розвиток стаціонарного догляду та підтриманого проживання, реалізацію стратегії прав дитини</w:t>
      </w:r>
      <w:r>
        <w:rPr>
          <w:bCs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shd w:val="clear" w:color="auto" w:fill="ffffff"/>
          <w:lang w:val="uk-UA"/>
        </w:rPr>
        <w:t xml:space="preserve">розвиток цифрової інфраструктури та впровадження електронних сервісів. Окрему увагу приділено реалізації в області Політики героїв та інтеграції ветеранів, звільнених з російського полону, в економічне і соціальне життя </w:t>
      </w:r>
      <w:r>
        <w:rPr>
          <w:bCs/>
          <w:sz w:val="28"/>
          <w:szCs w:val="28"/>
          <w:shd w:val="clear" w:color="auto" w:fill="ffffff"/>
          <w:lang w:val="uk-UA"/>
        </w:rPr>
        <w:t xml:space="preserve">громад та функціонування Реєстру збитків від агресії р</w:t>
      </w:r>
      <w:r>
        <w:rPr>
          <w:bCs/>
          <w:sz w:val="28"/>
          <w:szCs w:val="28"/>
          <w:shd w:val="clear" w:color="auto" w:fill="ffffff"/>
          <w:lang w:val="uk-UA"/>
        </w:rPr>
        <w:t xml:space="preserve">осійської </w:t>
      </w:r>
      <w:r>
        <w:rPr>
          <w:bCs/>
          <w:sz w:val="28"/>
          <w:szCs w:val="28"/>
          <w:shd w:val="clear" w:color="auto" w:fill="ffffff"/>
          <w:lang w:val="uk-UA"/>
        </w:rPr>
        <w:t xml:space="preserve">ф</w:t>
      </w:r>
      <w:r>
        <w:rPr>
          <w:bCs/>
          <w:sz w:val="28"/>
          <w:szCs w:val="28"/>
          <w:shd w:val="clear" w:color="auto" w:fill="ffffff"/>
          <w:lang w:val="uk-UA"/>
        </w:rPr>
        <w:t xml:space="preserve">едерації</w:t>
      </w:r>
      <w:r>
        <w:rPr>
          <w:bCs/>
          <w:sz w:val="28"/>
          <w:szCs w:val="28"/>
          <w:shd w:val="clear" w:color="auto" w:fill="ffffff"/>
          <w:lang w:val="uk-UA"/>
        </w:rPr>
        <w:t xml:space="preserve">.</w:t>
      </w:r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Bdr/>
        <w:spacing w:after="4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результатами засідань Конгресу та </w:t>
      </w:r>
      <w:r>
        <w:rPr>
          <w:bCs/>
          <w:sz w:val="28"/>
          <w:szCs w:val="28"/>
          <w:lang w:val="uk-UA"/>
        </w:rPr>
        <w:t xml:space="preserve">його </w:t>
      </w:r>
      <w:r>
        <w:rPr>
          <w:bCs/>
          <w:sz w:val="28"/>
          <w:szCs w:val="28"/>
          <w:lang w:val="uk-UA"/>
        </w:rPr>
        <w:t xml:space="preserve">робочих органів напрацьовані відповідні управлінські рішення для пришвидшення вирішення проблемних питань у громадах. </w:t>
      </w:r>
      <w:r>
        <w:rPr>
          <w:bCs/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поданням начальника Чернігівської обласної військової адміністрації у 2025 році </w:t>
      </w:r>
      <w:r>
        <w:rPr>
          <w:sz w:val="28"/>
          <w:szCs w:val="28"/>
          <w:lang w:val="uk-UA"/>
        </w:rPr>
        <w:t xml:space="preserve">на розгляд Чернігівської обласної ради вн</w:t>
      </w:r>
      <w:r>
        <w:rPr>
          <w:sz w:val="28"/>
          <w:szCs w:val="28"/>
          <w:lang w:val="uk-UA"/>
        </w:rPr>
        <w:t xml:space="preserve">есено 34 проєкти рішень, зокрема щодо затвердження Плану заходів на 2025–2027 роки з реалізації Стратегії сталого розвитку Чернігівської області, питань бюджету, екології та природних ресурсів, реорганізації та перейменування комунальних закладів і установ</w:t>
      </w:r>
      <w:r>
        <w:rPr>
          <w:sz w:val="28"/>
          <w:szCs w:val="28"/>
          <w:lang w:val="uk-UA"/>
        </w:rPr>
        <w:t xml:space="preserve">, що знаходяться</w:t>
      </w:r>
      <w:r>
        <w:rPr>
          <w:sz w:val="28"/>
          <w:szCs w:val="28"/>
          <w:lang w:val="uk-UA"/>
        </w:rPr>
        <w:t xml:space="preserve"> у сфері управління обласної державної адміністрації, надання та припинення права користування мисливськими угіддями, кадрових</w:t>
      </w:r>
      <w:r>
        <w:rPr>
          <w:sz w:val="28"/>
          <w:szCs w:val="28"/>
          <w:lang w:val="uk-UA"/>
        </w:rPr>
        <w:t xml:space="preserve"> питань та інших важливих напрямів.</w:t>
      </w:r>
      <w:r>
        <w:rPr>
          <w:sz w:val="28"/>
          <w:szCs w:val="28"/>
          <w:lang w:val="uk-UA"/>
        </w:rPr>
      </w:r>
    </w:p>
    <w:p>
      <w:pPr>
        <w:pBdr/>
        <w:spacing w:after="12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IV. БЮДЖЕТНА СФЕРА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Доходи загального і спеціального фондів бюджетів області виконані в сумі 18,3 млрд грн (власні доходи – 13,1 млрд грн, дотації і субвенції – 5,2 млрд грн), що більше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ніж у 2024 році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на 1,9 млрд грн (+11,5</w:t>
      </w:r>
      <w:r>
        <w:rPr>
          <w:color w:val="000000"/>
          <w:sz w:val="28"/>
          <w:szCs w:val="28"/>
          <w:lang w:val="uk-UA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%) за рахунок зростання надходжень до місцевих бюджетів як за власними доходами, так і за міжбюджетними трансфертами.</w:t>
      </w:r>
      <w:r>
        <w:rPr>
          <w:b/>
          <w:color w:val="000000"/>
          <w:sz w:val="28"/>
          <w:szCs w:val="28"/>
          <w:lang w:val="uk-UA"/>
        </w:rPr>
      </w:r>
    </w:p>
    <w:p>
      <w:pPr>
        <w:pBdr/>
        <w:tabs>
          <w:tab w:val="left" w:leader="none" w:pos="2552"/>
          <w:tab w:val="left" w:leader="none" w:pos="3119"/>
          <w:tab w:val="left" w:leader="none" w:pos="4536"/>
        </w:tabs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тому числі власні доходи загального фонду зведеного бюджету Чернігівської області (без урахування субвенцій і дотацій) виконані в обсязі 11,7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млрд гривень. Понад план надійшло 102 млн грн (+0,9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b/>
          <w:bCs/>
          <w:sz w:val="28"/>
          <w:szCs w:val="28"/>
          <w:lang w:val="uk-UA"/>
        </w:rPr>
      </w:r>
    </w:p>
    <w:p>
      <w:pPr>
        <w:pBdr/>
        <w:tabs>
          <w:tab w:val="left" w:leader="none" w:pos="2552"/>
          <w:tab w:val="left" w:leader="none" w:pos="3119"/>
          <w:tab w:val="left" w:leader="none" w:pos="4536"/>
        </w:tabs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Порівняно з 2024 роком зазначені доходи зросли на 1,7 млрд грн (+17,5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із яких за податком на доходи фізичних осіб – на 928,3 млн грн (+15,2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за єдиним податком – на 279,9 млн грн (+18,1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за податком на майно – на 250,1 млн грн (+23,5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за акцизними податками – на 220,3 млн грн (+33,5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за іншими податками і зборами – на 62,3 млн грн (+11,1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</w:t>
      </w:r>
      <w:r>
        <w:rPr>
          <w:b/>
          <w:bCs/>
          <w:sz w:val="28"/>
          <w:szCs w:val="28"/>
          <w:lang w:val="uk-UA"/>
        </w:rPr>
      </w:r>
    </w:p>
    <w:p>
      <w:pPr>
        <w:pBdr/>
        <w:tabs>
          <w:tab w:val="left" w:leader="none" w:pos="2552"/>
          <w:tab w:val="left" w:leader="none" w:pos="3119"/>
          <w:tab w:val="left" w:leader="none" w:pos="4536"/>
        </w:tabs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місцевих бюджетів області фактично залучено 28 державних трансфертів (дотаці</w:t>
      </w:r>
      <w:r>
        <w:rPr>
          <w:sz w:val="28"/>
          <w:szCs w:val="28"/>
          <w:lang w:val="uk-UA"/>
        </w:rPr>
        <w:t xml:space="preserve">й</w:t>
      </w:r>
      <w:r>
        <w:rPr>
          <w:sz w:val="28"/>
          <w:szCs w:val="28"/>
          <w:lang w:val="uk-UA"/>
        </w:rPr>
        <w:t xml:space="preserve"> та субвенці</w:t>
      </w:r>
      <w:r>
        <w:rPr>
          <w:sz w:val="28"/>
          <w:szCs w:val="28"/>
          <w:lang w:val="uk-UA"/>
        </w:rPr>
        <w:t xml:space="preserve">й</w:t>
      </w:r>
      <w:r>
        <w:rPr>
          <w:sz w:val="28"/>
          <w:szCs w:val="28"/>
          <w:lang w:val="uk-UA"/>
        </w:rPr>
        <w:t xml:space="preserve">) на здійснення важливих бюджетних видатків у загальній сумі 5,2 млрд грн, що більше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ніж у 2024 році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на 406,6 млн грн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або на 8,5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</w:t>
      </w:r>
      <w:r>
        <w:rPr>
          <w:b/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Видатки зв</w:t>
      </w:r>
      <w:r>
        <w:rPr>
          <w:sz w:val="28"/>
          <w:szCs w:val="28"/>
          <w:lang w:val="uk-UA"/>
        </w:rPr>
        <w:t xml:space="preserve">еденого бюджету області (з урахуванням використання розподілених вільних залишків коштів, що склалися станом на 01.01.2025) проведені у 2025 році в сумі 18,5 млрд грн (загальний фонд бюджету – 14,5 млрд грн, спеціальний фонд – 4 млрд грн), що на 2 млрд грн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або на 12,3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 більше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ніж у 2024 році.</w:t>
      </w:r>
      <w:r>
        <w:rPr>
          <w:b/>
          <w:sz w:val="28"/>
          <w:szCs w:val="28"/>
          <w:lang w:val="uk-UA"/>
        </w:rPr>
      </w:r>
    </w:p>
    <w:p>
      <w:pPr>
        <w:pBdr/>
        <w:tabs>
          <w:tab w:val="left" w:leader="none" w:pos="2552"/>
          <w:tab w:val="left" w:leader="none" w:pos="3119"/>
          <w:tab w:val="left" w:leader="none" w:pos="4536"/>
        </w:tabs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Зокрема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видатки на освіту зросли на 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2 млрд</w:t>
      </w:r>
      <w:r>
        <w:rPr>
          <w:sz w:val="28"/>
          <w:szCs w:val="28"/>
          <w:lang w:val="uk-UA"/>
        </w:rPr>
        <w:t xml:space="preserve"> грн (+15,7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соціальний захист і соціальне забезпечення – на 175,6 млн грн (+11,6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охорону здоров’я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– на 94,5 млн грн (+10,3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підтримку житлово-комунального господарства – на 34,1 млн грн (+3,8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інші бюджетні видатки – на 506,9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млн грн (+9,4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b/>
          <w:bCs/>
          <w:sz w:val="28"/>
          <w:szCs w:val="28"/>
          <w:lang w:val="uk-UA"/>
        </w:rPr>
      </w:r>
    </w:p>
    <w:p>
      <w:pPr>
        <w:pStyle w:val="850"/>
        <w:pBdr/>
        <w:spacing/>
        <w:ind w:firstLine="540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Питома вага </w:t>
      </w:r>
      <w:r>
        <w:rPr>
          <w:bCs/>
          <w:sz w:val="28"/>
          <w:szCs w:val="28"/>
        </w:rPr>
        <w:t xml:space="preserve">в</w:t>
      </w:r>
      <w:r>
        <w:rPr>
          <w:bCs/>
          <w:sz w:val="28"/>
          <w:szCs w:val="28"/>
        </w:rPr>
        <w:t xml:space="preserve">сіх захищених статей витрат у загальному фонді зведеного бюджету Чернігівської області становила майже 90</w:t>
      </w:r>
      <w:r>
        <w:rPr>
          <w:bCs/>
          <w:sz w:val="28"/>
          <w:szCs w:val="28"/>
        </w:rPr>
        <w:t xml:space="preserve"> </w:t>
      </w:r>
      <w:r>
        <w:rPr>
          <w:bCs/>
          <w:sz w:val="28"/>
          <w:szCs w:val="28"/>
        </w:rPr>
        <w:t xml:space="preserve">%</w:t>
      </w:r>
      <w:r>
        <w:rPr>
          <w:sz w:val="28"/>
          <w:szCs w:val="28"/>
        </w:rPr>
        <w:t xml:space="preserve"> (в обласному бюджеті – понад 95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%).</w:t>
      </w:r>
      <w:r>
        <w:rPr>
          <w:rFonts w:eastAsia="Calibri"/>
          <w:sz w:val="28"/>
          <w:szCs w:val="28"/>
          <w:lang w:eastAsia="en-US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 постійним контролем обласної державної адміністрації перебувало п</w:t>
      </w:r>
      <w:r>
        <w:rPr>
          <w:sz w:val="28"/>
          <w:szCs w:val="28"/>
          <w:lang w:val="uk-UA"/>
        </w:rPr>
        <w:t xml:space="preserve">итання своєчасної оплати праці працівників бюджетної сфери.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на виплату заробітної плати з нарахуваннями працівникам установ, що утримуються з місцевих бюджетів Чернігівщини, із загального фонду місцевих бюджетів направлено 9,1 млрд грн, що більше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ніж у 2024 році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на 922,5 млн грн (+11,2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Завдяки вжиттю заходів економного використання бюджетних коштів та їх першочергового спрямування на захищені статті видатків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ситуація із виплатою заробітної плати в бюджетній сфері області покращилася.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Згідно з да</w:t>
      </w:r>
      <w:r>
        <w:rPr>
          <w:sz w:val="28"/>
          <w:szCs w:val="28"/>
          <w:lang w:val="uk-UA"/>
        </w:rPr>
        <w:t xml:space="preserve">ними звітів, складених органами Державної казначейської служби України, станом на 01.01.2026 протермінованої кредиторської заборгованості за видатками з оплати праці в обласному бюджеті та у бюджетах територіальних громад Чернігівської області не допущено.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з місцевих бюджетів Чернігівської області на підтримку Сил оборони та безпеки спрямовано майже 1,2 млрд грн (10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до фактичного обсягу доходів загального фонду зведеного бюджету), що на 193 млн грн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або на 19,2%</w:t>
      </w:r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більше видатків 2024 року (в тому числі за рахунок коштів обласного бюджету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– 189,7 млн грн, що більше витрат 2024 року на 104,4 млн грн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або в 2,2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).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умовах воєнного стану згідно з чинним законодавством обсяг переданих власних доходів загального фонду місцевих бюджетів Чернігів</w:t>
      </w:r>
      <w:r>
        <w:rPr>
          <w:sz w:val="28"/>
          <w:szCs w:val="28"/>
          <w:lang w:val="uk-UA"/>
        </w:rPr>
        <w:t xml:space="preserve">щини до Державного бюджету України за податком на доходи фізичних осіб з грошового утримання, одержаного військовослужбовцями, поліцейськими, особами рядового і начальницького складу, що сплачується податковими агентами, становив у 2025 році 4,4 млрд грн (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тому числі з обласного бюджету – 843,7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  <w:lang w:val="uk-UA"/>
        </w:rPr>
        <w:t xml:space="preserve">млн грн)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або 38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від усієї суми фактичних доходів загального фонду зведеного бюджету області без урахування субвенцій і дотацій (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тому числі в обласному бюджеті – 54,8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b/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обсяг таких коштів для посилення обороноздатності держави порівняно з 2024 роком збільшився у цілому по бюджетах області на 1 млрд грн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або на 29,6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(з обласного бюджету – на 192,5 млн грн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або на 29,6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b/>
          <w:sz w:val="28"/>
          <w:szCs w:val="28"/>
          <w:lang w:val="uk-UA"/>
        </w:rPr>
      </w:r>
    </w:p>
    <w:p>
      <w:pPr>
        <w:pBdr/>
        <w:spacing w:after="120"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V. ЕКОНОМІКА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Промисловість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У результаті збройної агресії </w:t>
      </w:r>
      <w:r>
        <w:rPr>
          <w:sz w:val="28"/>
          <w:szCs w:val="28"/>
          <w:shd w:val="clear" w:color="auto" w:fill="ffffff"/>
          <w:lang w:val="uk-UA"/>
        </w:rPr>
        <w:t xml:space="preserve">російської федерації</w:t>
      </w:r>
      <w:r>
        <w:rPr>
          <w:sz w:val="28"/>
          <w:szCs w:val="28"/>
          <w:shd w:val="clear" w:color="auto" w:fill="ffffff"/>
          <w:lang w:val="uk-UA"/>
        </w:rPr>
        <w:t xml:space="preserve"> проти України суттєвих руйнувань та пошкоджень зазнали понад 70 промислових підприємств області, серед яких найбільше постраждали підприємства машинобудування, легкої та харчової промисловості.  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Після значного скорочення виробництва у 2022 році, особливо на підприємствах </w:t>
      </w:r>
      <w:r>
        <w:rPr>
          <w:sz w:val="28"/>
          <w:szCs w:val="28"/>
          <w:shd w:val="clear" w:color="auto" w:fill="ffffff"/>
          <w:lang w:val="uk-UA"/>
        </w:rPr>
        <w:t xml:space="preserve">хімічної промисловості, деревообробки, з виробництва гумових та пластмасових виробів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у 2023</w:t>
      </w:r>
      <w:r>
        <w:rPr>
          <w:sz w:val="28"/>
          <w:szCs w:val="28"/>
          <w:shd w:val="clear" w:color="auto" w:fill="ffffff"/>
          <w:lang w:val="uk-UA"/>
        </w:rPr>
        <w:t xml:space="preserve">–</w:t>
      </w:r>
      <w:r>
        <w:rPr>
          <w:sz w:val="28"/>
          <w:szCs w:val="28"/>
          <w:shd w:val="clear" w:color="auto" w:fill="ffffff"/>
          <w:lang w:val="uk-UA"/>
        </w:rPr>
        <w:t xml:space="preserve">202</w:t>
      </w:r>
      <w:r>
        <w:rPr>
          <w:sz w:val="28"/>
          <w:szCs w:val="28"/>
          <w:shd w:val="clear" w:color="auto" w:fill="ffffff"/>
          <w:lang w:val="uk-UA"/>
        </w:rPr>
        <w:t xml:space="preserve">5</w:t>
      </w:r>
      <w:r>
        <w:rPr>
          <w:sz w:val="28"/>
          <w:szCs w:val="28"/>
          <w:shd w:val="clear" w:color="auto" w:fill="ffffff"/>
          <w:lang w:val="uk-UA"/>
        </w:rPr>
        <w:t xml:space="preserve"> роках відбува</w:t>
      </w:r>
      <w:r>
        <w:rPr>
          <w:sz w:val="28"/>
          <w:szCs w:val="28"/>
          <w:shd w:val="clear" w:color="auto" w:fill="ffffff"/>
          <w:lang w:val="uk-UA"/>
        </w:rPr>
        <w:t xml:space="preserve">ло</w:t>
      </w:r>
      <w:r>
        <w:rPr>
          <w:sz w:val="28"/>
          <w:szCs w:val="28"/>
          <w:shd w:val="clear" w:color="auto" w:fill="ffffff"/>
          <w:lang w:val="uk-UA"/>
        </w:rPr>
        <w:t xml:space="preserve">ся поступове відновлення промислового потенціалу та зростання показників.</w:t>
      </w:r>
      <w:r>
        <w:rPr>
          <w:sz w:val="28"/>
          <w:szCs w:val="28"/>
          <w:shd w:val="clear" w:color="auto" w:fill="ffffff"/>
          <w:lang w:val="uk-UA"/>
        </w:rPr>
        <w:t xml:space="preserve"> Разом з тим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shd w:val="clear" w:color="auto" w:fill="ffffff"/>
          <w:lang w:val="uk-UA"/>
        </w:rPr>
        <w:t xml:space="preserve"> вихід на рівень 2021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року ускладнюється дефіцитом кадрів, енергетичними викликами та логістичними бар’єрами, відсутністю або скороченням замовлень, браком обігових коштів на відновлення. Наразі виробництво відновлено на рівні 90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від</w:t>
      </w:r>
      <w:r>
        <w:rPr>
          <w:sz w:val="28"/>
          <w:szCs w:val="28"/>
          <w:shd w:val="clear" w:color="auto" w:fill="ffffff"/>
          <w:lang w:val="uk-UA"/>
        </w:rPr>
        <w:t xml:space="preserve"> обсягів до повномасштабного вторгнення.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За підсумками січня</w:t>
      </w:r>
      <w:r>
        <w:rPr>
          <w:sz w:val="28"/>
          <w:szCs w:val="28"/>
          <w:shd w:val="clear" w:color="auto" w:fill="ffffff"/>
          <w:lang w:val="uk-UA"/>
        </w:rPr>
        <w:t xml:space="preserve">–</w:t>
      </w:r>
      <w:r>
        <w:rPr>
          <w:sz w:val="28"/>
          <w:szCs w:val="28"/>
          <w:shd w:val="clear" w:color="auto" w:fill="ffffff"/>
          <w:lang w:val="uk-UA"/>
        </w:rPr>
        <w:t xml:space="preserve">жовтня 2025 року індекс виробництва промислової продукції склав 100,7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до відповідного періоду 2024 року, загальний обсяг реалізації – 55,1 млрд гривень.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Ключовими галузями, що формують структуру промисловості і на які загалом припадає понад 85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загального обсягу реалізації, залишаються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харчова промисловість – майже 46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реалізації (25,3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млрд грн),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постачання електроенергії, газу, пари та водопостачання – 19,7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(10,9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млрд грн), машинобудування – 12,1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% (6,7 млрд грн), а також деревообробна та целюлозно-паперова промисловість – 7,7% (4,2 млрд грн).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Інвестиційна діяльність 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Залучення вітчизняних та іноземних інвестицій залишається стратегічним напрямом для економічного відновлення регіону</w:t>
      </w:r>
      <w:r>
        <w:rPr>
          <w:rFonts w:eastAsia="Calibri"/>
          <w:sz w:val="28"/>
          <w:szCs w:val="28"/>
          <w:lang w:val="uk-UA"/>
        </w:rPr>
        <w:t xml:space="preserve"> та країни в цілому. Прот</w:t>
      </w:r>
      <w:r>
        <w:rPr>
          <w:rFonts w:eastAsia="Calibri"/>
          <w:sz w:val="28"/>
          <w:szCs w:val="28"/>
          <w:lang w:val="uk-UA"/>
        </w:rPr>
        <w:t xml:space="preserve">ягом 2025 року спостерігалася тенденція до поступової активізації ділового середовища, чому значною мірою сприяла державна політика, спрямована на стимулювання вкладень у критично важливі сектори економіки та розбудову інфраструктури підтримки інвесторів. </w:t>
      </w:r>
      <w:r>
        <w:rPr>
          <w:rFonts w:eastAsia="Calibri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Обсяг капітальних інвестицій за </w:t>
      </w:r>
      <w:r>
        <w:rPr>
          <w:rFonts w:eastAsia="Calibri"/>
          <w:sz w:val="28"/>
          <w:szCs w:val="28"/>
          <w:lang w:val="uk-UA"/>
        </w:rPr>
        <w:t xml:space="preserve">підсумками 2025 року склав </w:t>
      </w:r>
      <w:r>
        <w:rPr>
          <w:rFonts w:eastAsia="Calibri"/>
          <w:sz w:val="28"/>
          <w:szCs w:val="28"/>
          <w:lang w:val="en-US"/>
        </w:rPr>
        <w:t xml:space="preserve">11</w:t>
      </w:r>
      <w:r>
        <w:rPr>
          <w:rFonts w:eastAsia="Calibri"/>
          <w:sz w:val="28"/>
          <w:szCs w:val="28"/>
          <w:lang w:val="uk-UA"/>
        </w:rPr>
        <w:t xml:space="preserve">,2</w:t>
      </w:r>
      <w:r>
        <w:rPr>
          <w:rFonts w:eastAsia="Calibri"/>
          <w:sz w:val="28"/>
          <w:szCs w:val="28"/>
          <w:lang w:val="uk-UA"/>
        </w:rPr>
        <w:t xml:space="preserve"> млрд грн</w:t>
      </w:r>
      <w:r>
        <w:rPr>
          <w:rFonts w:eastAsia="Calibri"/>
          <w:sz w:val="28"/>
          <w:szCs w:val="28"/>
          <w:lang w:val="uk-UA"/>
        </w:rPr>
        <w:t xml:space="preserve"> –</w:t>
      </w:r>
      <w:r>
        <w:rPr>
          <w:rFonts w:eastAsia="Calibri"/>
          <w:sz w:val="28"/>
          <w:szCs w:val="28"/>
          <w:lang w:val="uk-UA"/>
        </w:rPr>
        <w:t xml:space="preserve"> 8</w:t>
      </w:r>
      <w:r>
        <w:rPr>
          <w:rFonts w:eastAsia="Calibri"/>
          <w:sz w:val="28"/>
          <w:szCs w:val="28"/>
          <w:lang w:val="uk-UA"/>
        </w:rPr>
        <w:t xml:space="preserve">2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до аналогічного періоду попереднього року. </w:t>
      </w:r>
      <w:r>
        <w:rPr>
          <w:sz w:val="28"/>
          <w:szCs w:val="28"/>
          <w:lang w:val="uk-UA"/>
        </w:rPr>
        <w:t xml:space="preserve">Питома вага освоєних капітальних інвестицій </w:t>
      </w:r>
      <w:r>
        <w:rPr>
          <w:sz w:val="28"/>
          <w:szCs w:val="28"/>
          <w:lang w:val="uk-UA"/>
        </w:rPr>
        <w:t xml:space="preserve">в області </w:t>
      </w:r>
      <w:r>
        <w:rPr>
          <w:sz w:val="28"/>
          <w:szCs w:val="28"/>
          <w:lang w:val="uk-UA"/>
        </w:rPr>
        <w:t xml:space="preserve">у загальному обсязі по Україні склала 1,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(1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місце серед регіонів).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Сума внесених в економіку області прямих інвестицій (інструменти участі у капіталі) станом на 30.09.2025 станови</w:t>
      </w:r>
      <w:r>
        <w:rPr>
          <w:sz w:val="28"/>
          <w:szCs w:val="28"/>
          <w:lang w:val="uk-UA"/>
        </w:rPr>
        <w:t xml:space="preserve">ла</w:t>
      </w:r>
      <w:r>
        <w:rPr>
          <w:sz w:val="28"/>
          <w:szCs w:val="28"/>
          <w:lang w:val="uk-UA"/>
        </w:rPr>
        <w:t xml:space="preserve"> 574,1 млн дол.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США, що на 86 млн дол.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США (</w:t>
      </w:r>
      <w:r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 менше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ніж на відповідну дату попереднього року. Це, насамперед, пов’язано з</w:t>
      </w:r>
      <w:r>
        <w:rPr>
          <w:rFonts w:eastAsia="Calibri"/>
          <w:sz w:val="28"/>
          <w:szCs w:val="28"/>
          <w:lang w:val="uk-UA"/>
        </w:rPr>
        <w:t xml:space="preserve"> процесами лібералізації валютного ринку, зокрема послабленням обмежень на транскордонні перекази та виведенням дивідендів</w:t>
      </w:r>
      <w:r>
        <w:rPr>
          <w:rFonts w:eastAsia="Calibri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Питома вага області в загальному обсязі залучених прямих іноземних інвестицій по Україні становила 1,4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</w:t>
      </w:r>
      <w:r>
        <w:rPr>
          <w:rFonts w:eastAsia="Calibri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Інвестиції до області надійшли із 34 країн світу. Найбільше прямих інвестицій залучено зі Сполученого Королівства Великої Британії та Північної Ірландії – 58,1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Кіпру – 28,7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Швеції – 4,5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США – 2,3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Франції –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та Естонії – </w:t>
      </w:r>
      <w:r>
        <w:rPr>
          <w:sz w:val="28"/>
          <w:szCs w:val="28"/>
          <w:lang w:val="uk-UA"/>
        </w:rPr>
        <w:t xml:space="preserve">0,8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Крім того, левова частка інвестицій (37,5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 – інвестиції з країн ЄС.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У галузевому розрізі інвестори традиційно надають перевагу промисловості, </w:t>
      </w:r>
      <w:r>
        <w:rPr>
          <w:rFonts w:eastAsia="Calibri"/>
          <w:sz w:val="28"/>
          <w:szCs w:val="28"/>
          <w:lang w:val="uk-UA"/>
        </w:rPr>
        <w:t xml:space="preserve">в</w:t>
      </w:r>
      <w:r>
        <w:rPr>
          <w:rFonts w:eastAsia="Calibri"/>
          <w:sz w:val="28"/>
          <w:szCs w:val="28"/>
          <w:lang w:val="uk-UA"/>
        </w:rPr>
        <w:t xml:space="preserve"> якій зосереджено 385,1 млн дол. США, що становить понад 67</w:t>
      </w:r>
      <w:r>
        <w:rPr>
          <w:rFonts w:eastAsia="Calibri"/>
          <w:sz w:val="28"/>
          <w:szCs w:val="28"/>
          <w:lang w:val="en-US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загального обсягу прямих іноземних інвестицій, з них у переробній промисловості </w:t>
      </w:r>
      <w:r>
        <w:rPr>
          <w:rFonts w:eastAsia="Calibri"/>
          <w:sz w:val="28"/>
          <w:szCs w:val="28"/>
          <w:lang w:val="en-US"/>
        </w:rPr>
        <w:t xml:space="preserve">–</w:t>
      </w:r>
      <w:r>
        <w:rPr>
          <w:rFonts w:eastAsia="Calibri"/>
          <w:sz w:val="28"/>
          <w:szCs w:val="28"/>
          <w:lang w:val="uk-UA"/>
        </w:rPr>
        <w:t xml:space="preserve"> 347,3 млн дол. США.</w:t>
      </w:r>
      <w:r>
        <w:rPr>
          <w:rFonts w:eastAsia="Calibri"/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Вагомим напрямом інвестування також залишається сільське, лісове та рибне господарство, у розвиток якого спрямовано 165,8 млн дол. США, або 28</w:t>
      </w:r>
      <w:r>
        <w:rPr>
          <w:rFonts w:eastAsia="Calibri"/>
          <w:sz w:val="28"/>
          <w:szCs w:val="28"/>
          <w:lang w:val="uk-UA"/>
        </w:rPr>
        <w:t xml:space="preserve">,9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загального обсягу інвестицій. </w:t>
      </w:r>
      <w:r>
        <w:rPr>
          <w:rFonts w:eastAsia="Calibri"/>
          <w:sz w:val="28"/>
          <w:szCs w:val="28"/>
          <w:lang w:val="uk-UA"/>
        </w:rPr>
      </w:r>
    </w:p>
    <w:p>
      <w:pPr>
        <w:pBdr/>
        <w:tabs>
          <w:tab w:val="left" w:leader="none" w:pos="0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Попри складну безпекову ситуацію продовжилася реалізація нових інвестиційних проєктів. За результатами моніторингу, з початку повномасштабного вторгнення реалізовано понад 85 проєктів на суму більше 2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млрд гр</w:t>
      </w:r>
      <w:r>
        <w:rPr>
          <w:rFonts w:eastAsia="Calibri"/>
          <w:sz w:val="28"/>
          <w:szCs w:val="28"/>
          <w:lang w:val="uk-UA"/>
        </w:rPr>
        <w:t xml:space="preserve">ивень</w:t>
      </w:r>
      <w:r>
        <w:rPr>
          <w:rFonts w:eastAsia="Calibri"/>
          <w:sz w:val="28"/>
          <w:szCs w:val="28"/>
          <w:lang w:val="uk-UA"/>
        </w:rPr>
        <w:t xml:space="preserve">. Більшість із них (57 проєктів) – сільськогосподарського призначення, 22 проєкти мають виробниче призначення, а решта охоплює сфери альтернативної енергетики та туризму. </w:t>
      </w:r>
      <w:r>
        <w:rPr>
          <w:rFonts w:eastAsia="Calibri"/>
          <w:sz w:val="28"/>
          <w:szCs w:val="28"/>
          <w:lang w:val="uk-UA"/>
        </w:rPr>
      </w:r>
    </w:p>
    <w:p>
      <w:pPr>
        <w:pStyle w:val="820"/>
        <w:pBdr/>
        <w:tabs>
          <w:tab w:val="left" w:leader="none" w:pos="0"/>
        </w:tabs>
        <w:spacing w:after="0" w:line="240" w:lineRule="auto"/>
        <w:ind w:firstLine="567" w:left="0"/>
        <w:jc w:val="both"/>
        <w:rPr>
          <w:rFonts w:ascii="Times New Roman" w:hAnsi="Times New Roman" w:eastAsia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  <w14:ligatures w14:val="standardContextual"/>
        </w:rPr>
        <w:t xml:space="preserve">Продовжилася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  <w14:ligatures w14:val="standardContextual"/>
        </w:rPr>
        <w:t xml:space="preserve">робота над розбудовою інфраструктури залучення інвестицій через розвиток індустріальних парків. </w:t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  <w14:ligatures w14:val="standardContextual"/>
        </w:rPr>
        <w:t xml:space="preserve">В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області вже два таких парки включені до Реєстру індустріальних (промислових) парків: «Менський» та «Носівські господарства» (рішення про включення ухвалено у грудні 2025 року). 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</w:r>
    </w:p>
    <w:p>
      <w:pPr>
        <w:pStyle w:val="820"/>
        <w:pBdr/>
        <w:tabs>
          <w:tab w:val="left" w:leader="none" w:pos="0"/>
        </w:tabs>
        <w:spacing w:after="240" w:line="240" w:lineRule="auto"/>
        <w:ind w:firstLine="567" w:left="0"/>
        <w:contextualSpacing w:val="false"/>
        <w:jc w:val="both"/>
        <w:rPr>
          <w:rFonts w:ascii="Times New Roman" w:hAnsi="Times New Roman" w:eastAsia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Для обох індустріальних парків уже обрано керуючі компанії. Керуючою компанією індустріального парку «Менський» визначено ТОВ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  <w:t xml:space="preserve">«Будівельна компанія «Волмакс», яке наразі реалізує заходи з облаштування інфраструктури. Носівська міська рада уклала договір із ПП «Тепличне», яке виступає керуючою компанією індустріального парку «Носівські господарства».</w:t>
      </w:r>
      <w:r>
        <w:rPr>
          <w:rFonts w:ascii="Times New Roman" w:hAnsi="Times New Roman" w:eastAsia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0"/>
        </w:tabs>
        <w:spacing/>
        <w:ind w:firstLine="567"/>
        <w:contextualSpacing w:val="true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Зовнішньоекономічна діяльність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 w:eastAsia="uk-UA"/>
        </w:rPr>
        <w:t xml:space="preserve">Попри військові дії підприємства області докладають значних зусиль у пошуку та освоєнні закордонних ринків збуту. Важливу роль відіграє впровадження державних програм підтримки експортерів, а також проєктів міжнародних донорів щодо с</w:t>
      </w:r>
      <w:r>
        <w:rPr>
          <w:rFonts w:eastAsia="Calibri"/>
          <w:color w:val="000000"/>
          <w:sz w:val="28"/>
          <w:szCs w:val="28"/>
          <w:shd w:val="clear" w:color="auto" w:fill="ffffff"/>
          <w:lang w:val="uk-UA" w:eastAsia="uk-UA"/>
        </w:rPr>
        <w:t xml:space="preserve">тимулювання експорту</w:t>
      </w:r>
      <w:r>
        <w:rPr>
          <w:rFonts w:eastAsia="Calibri"/>
          <w:color w:val="000000"/>
          <w:sz w:val="28"/>
          <w:szCs w:val="28"/>
          <w:lang w:val="uk-UA" w:eastAsia="uk-UA"/>
        </w:rPr>
        <w:t xml:space="preserve">. Як результат</w:t>
      </w:r>
      <w:r>
        <w:rPr>
          <w:rFonts w:eastAsia="Calibri"/>
          <w:color w:val="000000"/>
          <w:sz w:val="28"/>
          <w:szCs w:val="28"/>
          <w:lang w:val="uk-UA" w:eastAsia="uk-UA"/>
        </w:rPr>
        <w:t xml:space="preserve">, за 9 місяців 2025 року</w:t>
      </w:r>
      <w:r>
        <w:rPr>
          <w:rFonts w:eastAsia="Calibri"/>
          <w:sz w:val="28"/>
          <w:szCs w:val="28"/>
          <w:lang w:val="uk-UA"/>
        </w:rPr>
        <w:t xml:space="preserve"> експортні поставки зросли на 10,3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до відповідного періоду 2024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року (до 767,1 млн дол. США). Водночас цей показник становить 96,7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до аналогічного періоду 2021 року.</w:t>
      </w:r>
      <w:r>
        <w:rPr>
          <w:rFonts w:eastAsia="Calibri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Аграрна продукція продовжує лідирувати у структурі експорту. Зернові культури формують майже половину загальнообласного показника (42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Обсяги поставок такої продукції порівняно з відповідним періодом 2024 року зменшились на 0,5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що зумовлено небезпекою від ворожих обстрілів та проблемами щодо розмінування певних територій біля прикордоння</w:t>
      </w:r>
      <w:r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 xml:space="preserve">як з російською федерацією, так і з республікою білорусь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 Населені пункти Семенівської, Новгород-Сіверської, Городнянської, Сновської, Корюківської територіальних громад щоденно потерпають від ворожих обстрілів.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Водночас у структурі експорту спостерігалась зміна у бік нарощування поставок продукції з доданою вартістю. Зокрема, протягом 2022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2025 років відбулося значне зростання поставок жирів та олій (до 20,8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у загальному обсязі). За </w:t>
      </w:r>
      <w:r>
        <w:rPr>
          <w:sz w:val="28"/>
          <w:szCs w:val="28"/>
          <w:lang w:val="uk-UA"/>
        </w:rPr>
        <w:t xml:space="preserve">результатами січня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вересня 2025 року обсяг їх експорту збільшився у 4,5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до аналогічного періоду 2021 року.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Порівняно з аналогічним періодом 2024 року також зросли поставки: електричних машин (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1,4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); деревини та виробів з деревини (+28,4%); готових харчових продуктів (+14,4%). </w:t>
      </w:r>
      <w:r>
        <w:rPr>
          <w:sz w:val="28"/>
          <w:szCs w:val="28"/>
          <w:lang w:val="uk-UA"/>
        </w:rPr>
        <w:t xml:space="preserve">Разом з тим</w:t>
      </w:r>
      <w:r>
        <w:rPr>
          <w:sz w:val="28"/>
          <w:szCs w:val="28"/>
          <w:lang w:val="uk-UA"/>
        </w:rPr>
        <w:t xml:space="preserve"> скоротились поставки паперу та картону (-10,7%); текстильних матеріалів (-5,5%); полімерних матеріалів, пластмаси та виробів (-15,9%).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географічній структурі експорту країни ЄС продовж</w:t>
      </w:r>
      <w:r>
        <w:rPr>
          <w:sz w:val="28"/>
          <w:szCs w:val="28"/>
          <w:lang w:val="uk-UA"/>
        </w:rPr>
        <w:t xml:space="preserve">ували</w:t>
      </w:r>
      <w:r>
        <w:rPr>
          <w:sz w:val="28"/>
          <w:szCs w:val="28"/>
          <w:lang w:val="uk-UA"/>
        </w:rPr>
        <w:t xml:space="preserve"> займати лідируючі позиції. За результатами січня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вересня 2025 року поставки до них формували 51,5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 Порівняно з аналогічним періодом 2024 року обсяги експорту до відповідних країн збільшилися на 8,9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а до 2021 року – на 36,2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та становили 395,2 млн дол. США.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 країн ЄС найбільші обсяги експорту поставлялись до Італії (12,4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загального обсягу експорту), Нідерландів (9,4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Іспанії (5,9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Польщі (5,4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Німеччини (4,3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Румунії (3,1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Литви (1,6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Обсяги експорту збільшились: у Польщу – у 2 рази, Нідерланди та Італію –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1,3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, Францію –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1,2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 решти країн світу значні обсяги експорту поставлялись до Туреччини (13,4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загального обсягу)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Єгипту (6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Індії (2,5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Республіки Молдова (2,8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зовнішньоекономічному товарообігу Чернігівщини експорт товарів значно переважа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обсяги імпорту, що забезпеч</w:t>
      </w:r>
      <w:r>
        <w:rPr>
          <w:sz w:val="28"/>
          <w:szCs w:val="28"/>
          <w:lang w:val="uk-UA"/>
        </w:rPr>
        <w:t xml:space="preserve">ило</w:t>
      </w:r>
      <w:r>
        <w:rPr>
          <w:sz w:val="28"/>
          <w:szCs w:val="28"/>
          <w:lang w:val="uk-UA"/>
        </w:rPr>
        <w:t xml:space="preserve"> формування позитивного сальдо зовнішньоторговельного балансу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обсязі 441,6 млн дол. США.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Підтримка підприємництва </w:t>
      </w:r>
      <w:r>
        <w:rPr>
          <w:b/>
          <w:sz w:val="28"/>
          <w:szCs w:val="28"/>
          <w:lang w:val="uk-UA"/>
        </w:rPr>
      </w:r>
    </w:p>
    <w:p>
      <w:pPr>
        <w:pBdr/>
        <w:shd w:val="clear" w:color="auto" w:fill="ffffff"/>
        <w:tabs>
          <w:tab w:val="left" w:leader="none" w:pos="1134"/>
        </w:tabs>
        <w:spacing/>
        <w:ind w:firstLine="567"/>
        <w:contextualSpacing w:val="true"/>
        <w:jc w:val="both"/>
        <w:rPr>
          <w:rFonts w:eastAsia="Calibri"/>
          <w:color w:val="000000"/>
          <w:sz w:val="28"/>
          <w:szCs w:val="28"/>
          <w:lang w:val="uk-UA"/>
          <w14:ligatures w14:val="standardContextual"/>
        </w:rPr>
      </w:pP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У рамках реалізації обласної Програми розвитку малого і середнього підприємництва на 2021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–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2027 роки та Комплексної Програми підвищення конкурентоспроможності Чернігівської області на 2021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–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2027 роки «Чернігівщина конкурентоспроможна» здійснювалась всебічна підтримка суб’єктів малого і середнього підприємництва, а також об’єктів інфраструктури підтримки МСП.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</w:r>
    </w:p>
    <w:p>
      <w:pPr>
        <w:pBdr/>
        <w:shd w:val="clear" w:color="auto" w:fill="ffffff"/>
        <w:tabs>
          <w:tab w:val="left" w:leader="none" w:pos="1134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</w:pP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У 2025 році 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обласна державна адміністрація 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продовжила 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ве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сти</w:t>
      </w:r>
      <w:r>
        <w:rPr>
          <w:rFonts w:eastAsia="Calibri"/>
          <w:color w:val="000000"/>
          <w:sz w:val="28"/>
          <w:szCs w:val="28"/>
          <w:lang w:val="uk-UA"/>
          <w14:ligatures w14:val="standardContextual"/>
        </w:rPr>
        <w:t xml:space="preserve"> постійний діалог з представниками бізнесового середовища області. Зокрема, було організовано та проведено дві зустрічі з 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Першим віце-прем'єр-міністром – Міністром економіки України та Прем’єр-міністром України за участ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ю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 представників центральних органів виконавчої влади та їх територіальних підрозділів, народних депутатів України; забезпечено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 організацію 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фотоекспозиції «Сяйво Чернігівщини», присвяченої вшануванню 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загиблих на війні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 підприємців; затверджено </w:t>
      </w:r>
      <w:r>
        <w:rPr>
          <w:sz w:val="28"/>
          <w:szCs w:val="28"/>
          <w:lang w:val="uk-UA"/>
        </w:rPr>
        <w:t xml:space="preserve">оновлений персональний склад регіональної ради підприємців в Чернігівській</w:t>
      </w:r>
      <w:r>
        <w:rPr>
          <w:sz w:val="28"/>
          <w:szCs w:val="28"/>
          <w:lang w:val="uk-UA"/>
        </w:rPr>
        <w:t xml:space="preserve"> області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  <w:t xml:space="preserve"> та здійснено організаційно-інформаційне забезпечення трьох її засідань. </w:t>
      </w:r>
      <w:r>
        <w:rPr>
          <w:rFonts w:eastAsia="Calibri"/>
          <w:sz w:val="28"/>
          <w:szCs w:val="28"/>
          <w:shd w:val="clear" w:color="auto" w:fill="ffffff"/>
          <w:lang w:val="uk-UA"/>
          <w14:ligatures w14:val="standardContextual"/>
        </w:rPr>
      </w:r>
    </w:p>
    <w:p>
      <w:pPr>
        <w:pStyle w:val="820"/>
        <w:pBdr/>
        <w:shd w:val="clear" w:color="auto" w:fill="ffffff"/>
        <w:tabs>
          <w:tab w:val="left" w:leader="none" w:pos="1134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рамках реалізації платформи «Діалог влади та бізнесу», яка започаткована за ініціативи Президента України, щотижнево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 режимі онлайн-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/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офлайн- провод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ились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зустрічі, в яких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брал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участь керівництво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обласної державної адміністрації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структурн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підрозділ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представники центральних органів виконавчої влади та їх територіальних підрозділів, рай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онних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держа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вних 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дміністрацій та органів місцевого самоврядування.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right="-75" w:firstLine="567"/>
        <w:jc w:val="both"/>
        <w:rPr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У 2025 році проведено 59 зустрічей з бізнесом, на яких, зокрема, обговорювались проблемні питання та напрацьовувались пропозиції щодо покращення економічного клімату в регіоні. </w:t>
      </w:r>
      <w:r>
        <w:rPr>
          <w:sz w:val="28"/>
          <w:szCs w:val="28"/>
          <w:lang w:val="uk-UA"/>
        </w:rPr>
        <w:t xml:space="preserve">У таких заходах </w:t>
      </w:r>
      <w:r>
        <w:rPr>
          <w:sz w:val="28"/>
          <w:szCs w:val="28"/>
          <w:lang w:val="uk-UA"/>
        </w:rPr>
        <w:t xml:space="preserve">взя</w:t>
      </w:r>
      <w:r>
        <w:rPr>
          <w:sz w:val="28"/>
          <w:szCs w:val="28"/>
          <w:lang w:val="uk-UA"/>
        </w:rPr>
        <w:t xml:space="preserve">ли участь понад 3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 тис. </w:t>
      </w:r>
      <w:r>
        <w:rPr>
          <w:sz w:val="28"/>
          <w:szCs w:val="28"/>
          <w:lang w:val="uk-UA"/>
        </w:rPr>
        <w:t xml:space="preserve">осіб.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За результатами зустрічей направлено відповідні звернення до центральних органів виконавчої влади щодо вирішення проблемних питань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бізнесу регіону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в тому числі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стосовно питань бронювання, розширення можливостей участі в програмі «Національний кешбек», продовження терміну надання пільгових кредитів та зняття певних обмежень за програмою «Доступні кредити 5-7-9%» для суб’єктів господарювання Чернігівської області.</w:t>
      </w:r>
      <w:r>
        <w:rPr>
          <w:sz w:val="28"/>
          <w:szCs w:val="28"/>
          <w:lang w:val="uk-UA"/>
        </w:rPr>
      </w:r>
    </w:p>
    <w:p>
      <w:pPr>
        <w:pBdr/>
        <w:spacing/>
        <w:ind w:right="-75" w:firstLine="567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 w:eastAsia="uk-UA"/>
        </w:rPr>
        <w:t xml:space="preserve">В області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ді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ють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три офіси «Зроблено в Україні»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(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у Черніг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ові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, Ніжин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і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та Прилук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ах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)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,</w:t>
      </w:r>
      <w:r>
        <w:rPr>
          <w:lang w:val="uk-UA"/>
        </w:rPr>
        <w:t xml:space="preserve">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де підприєм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ці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області мож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уть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отримати фахову консультацію щодо державних та міжнародних інструментів підтримки бізнесу.</w:t>
      </w:r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Завдяки Урядовому проєкту «єРобота» у 2025 році підприємці області та особи,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планували розпочати власну справу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отримали підтримку від держави:</w:t>
      </w:r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851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/>
      <w:bookmarkStart w:id="3" w:name="_Hlk156468286"/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гранти на власну справу – 253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заявники 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на суму 85,1 млн грн (передбачено створення 465 нових робочих місць);</w:t>
      </w:r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851"/>
          <w:tab w:val="left" w:leader="none" w:pos="993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гранти на переробне підприємство («Новий рівень») – 20 заявників на суму 114,2 млн грн;</w:t>
      </w:r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851"/>
          <w:tab w:val="left" w:leader="none" w:pos="993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гранти для ветеранів та членів їхніх сімей – 30 заявників на суму </w:t>
      </w:r>
      <w:r>
        <w:rPr>
          <w:rFonts w:eastAsia="Calibri"/>
          <w:sz w:val="28"/>
          <w:szCs w:val="28"/>
          <w:shd w:val="clear" w:color="auto" w:fill="ffffff"/>
          <w:lang w:val="uk-UA"/>
        </w:rPr>
        <w:br/>
        <w:t xml:space="preserve">14,7 млн грн, реалізація передбач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ала</w:t>
      </w:r>
      <w:r>
        <w:rPr>
          <w:rFonts w:eastAsia="Calibri"/>
          <w:sz w:val="28"/>
          <w:szCs w:val="28"/>
          <w:shd w:val="clear" w:color="auto" w:fill="ffffff"/>
          <w:lang w:val="uk-UA"/>
        </w:rPr>
        <w:t xml:space="preserve"> створення 60 робочих місць. </w:t>
      </w:r>
      <w:bookmarkEnd w:id="3"/>
      <w:r/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851"/>
          <w:tab w:val="left" w:leader="none" w:pos="993"/>
        </w:tabs>
        <w:spacing/>
        <w:ind w:firstLine="567"/>
        <w:contextualSpacing w:val="true"/>
        <w:jc w:val="both"/>
        <w:rPr>
          <w:rFonts w:eastAsia="Calibri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рамках реалізації регіональних програм в області запроваджено часткове відшкодування підприємствам витрат: з оцінки збитків, завданих внаслідок збройної агресії російської федерації; участі у виставково-ярмаркових заходах та вартості витрат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з сертифікації продукції та систем управління. Зокрема, у 2025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році надано фінансову підтримку 4 суб’єктам господарювання на загальну суму 125,2 тис. гривень.</w:t>
      </w:r>
      <w:r>
        <w:rPr>
          <w:rFonts w:eastAsia="Calibri"/>
          <w:sz w:val="28"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Нада</w:t>
      </w:r>
      <w:r>
        <w:rPr>
          <w:sz w:val="28"/>
          <w:szCs w:val="28"/>
          <w:lang w:val="uk-UA"/>
        </w:rPr>
        <w:t xml:space="preserve">валася</w:t>
      </w:r>
      <w:r>
        <w:rPr>
          <w:sz w:val="28"/>
          <w:szCs w:val="28"/>
          <w:lang w:val="uk-UA"/>
        </w:rPr>
        <w:t xml:space="preserve"> постійна інформаційно-консультаційна підтримка діючому бізнесу та підприємцям-початківцям, а також практична допомога з підготовки бізнес-планів і подання заявок щодо участі підприємців у пр</w:t>
      </w:r>
      <w:r>
        <w:rPr>
          <w:sz w:val="28"/>
          <w:szCs w:val="28"/>
          <w:lang w:val="uk-UA"/>
        </w:rPr>
        <w:t xml:space="preserve">ограмах фінансової підтримки. До цієї роботи залучені Державна організація «Регіональний фонд підтримки підприємництва по Чернігівській області», Агенція регіонального розвитку Чернігівської області, Центр підтримки підприємництва, інновацій та стартапів, </w:t>
      </w:r>
      <w:r>
        <w:rPr>
          <w:sz w:val="28"/>
          <w:szCs w:val="28"/>
          <w:lang w:val="uk-UA"/>
        </w:rPr>
        <w:t xml:space="preserve">який діє </w:t>
      </w:r>
      <w:r>
        <w:rPr>
          <w:sz w:val="28"/>
          <w:szCs w:val="28"/>
          <w:lang w:val="uk-UA"/>
        </w:rPr>
        <w:t xml:space="preserve">на базі Агенції регіонального розвитку Чернігівської області. Так, у 2025 році проведено близько 70 </w:t>
      </w:r>
      <w:r>
        <w:rPr>
          <w:sz w:val="28"/>
          <w:szCs w:val="28"/>
          <w:shd w:val="clear" w:color="auto" w:fill="ffffff"/>
          <w:lang w:val="uk-UA"/>
        </w:rPr>
        <w:t xml:space="preserve">інформаційних заходів (семінари-консультації, вебінари, зустрічі, тренінги, а також навчальні програми: </w:t>
      </w:r>
      <w:r>
        <w:rPr>
          <w:sz w:val="28"/>
          <w:szCs w:val="28"/>
          <w:shd w:val="clear" w:color="auto" w:fill="ffffff"/>
          <w:lang w:val="uk-UA"/>
        </w:rPr>
        <w:t xml:space="preserve">«</w:t>
      </w:r>
      <w:r>
        <w:rPr>
          <w:sz w:val="28"/>
          <w:szCs w:val="28"/>
          <w:shd w:val="clear" w:color="auto" w:fill="ffffff"/>
          <w:lang w:val="uk-UA"/>
        </w:rPr>
        <w:t xml:space="preserve">Бізнес-інкубатор «ВПЛИВАЙ: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INCUBATOR» та «Бізнес-акселератор «ВПЛИВАЙ: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ACCELERATOR»; Молодіжна школа бізнесу; Школа бізнесу для ветеранів та членів їх</w:t>
      </w:r>
      <w:r>
        <w:rPr>
          <w:sz w:val="28"/>
          <w:szCs w:val="28"/>
          <w:shd w:val="clear" w:color="auto" w:fill="ffffff"/>
          <w:lang w:val="uk-UA"/>
        </w:rPr>
        <w:t xml:space="preserve">ніх</w:t>
      </w:r>
      <w:r>
        <w:rPr>
          <w:sz w:val="28"/>
          <w:szCs w:val="28"/>
          <w:shd w:val="clear" w:color="auto" w:fill="ffffff"/>
          <w:lang w:val="uk-UA"/>
        </w:rPr>
        <w:t xml:space="preserve"> сімей).</w:t>
      </w:r>
      <w:r>
        <w:rPr>
          <w:sz w:val="28"/>
          <w:szCs w:val="28"/>
          <w:shd w:val="clear" w:color="auto" w:fill="ffffff"/>
          <w:lang w:val="uk-UA"/>
        </w:rPr>
      </w:r>
    </w:p>
    <w:p>
      <w:pPr>
        <w:widowControl w:val="false"/>
        <w:pBdr/>
        <w:tabs>
          <w:tab w:val="left" w:leader="none" w:pos="993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</w:t>
      </w:r>
      <w:r>
        <w:rPr>
          <w:rFonts w:cs="Arial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2025 року спостеріга</w:t>
      </w:r>
      <w:r>
        <w:rPr>
          <w:sz w:val="28"/>
          <w:szCs w:val="28"/>
          <w:lang w:val="uk-UA"/>
        </w:rPr>
        <w:t xml:space="preserve">ло</w:t>
      </w:r>
      <w:r>
        <w:rPr>
          <w:sz w:val="28"/>
          <w:szCs w:val="28"/>
          <w:lang w:val="uk-UA"/>
        </w:rPr>
        <w:t xml:space="preserve">ся сповільнення процесу припинення діяльності юридичних осіб по відношенню як до 2024 року (на 44,9 %), так і до 2021 року (на 40,6 %). Також юридичних осіб було взято на облік більше на 7,2 %, ніж </w:t>
      </w:r>
      <w:r>
        <w:rPr>
          <w:rFonts w:cs="Arial"/>
          <w:sz w:val="28"/>
          <w:szCs w:val="28"/>
          <w:lang w:val="uk-UA"/>
        </w:rPr>
        <w:t xml:space="preserve">тих, </w:t>
      </w:r>
      <w:r>
        <w:rPr>
          <w:rFonts w:cs="Arial"/>
          <w:sz w:val="28"/>
          <w:szCs w:val="28"/>
          <w:lang w:val="uk-UA"/>
        </w:rPr>
        <w:t xml:space="preserve">які</w:t>
      </w:r>
      <w:r>
        <w:rPr>
          <w:rFonts w:cs="Arial"/>
          <w:sz w:val="28"/>
          <w:szCs w:val="28"/>
          <w:lang w:val="uk-UA"/>
        </w:rPr>
        <w:t xml:space="preserve"> припинили свою діяльність.</w:t>
      </w:r>
      <w:r>
        <w:rPr>
          <w:sz w:val="28"/>
          <w:szCs w:val="28"/>
          <w:lang w:val="uk-UA"/>
        </w:rPr>
      </w:r>
    </w:p>
    <w:p>
      <w:pPr>
        <w:widowControl w:val="false"/>
        <w:pBdr/>
        <w:tabs>
          <w:tab w:val="left" w:leader="none" w:pos="993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rFonts w:cs="Arial"/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2025 році фізичних осіб-підприємців було взято на облік менше на 12 %, ніж </w:t>
      </w:r>
      <w:r>
        <w:rPr>
          <w:rFonts w:cs="Arial"/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2024 році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та на 2 % більше, ніж </w:t>
      </w:r>
      <w:r>
        <w:rPr>
          <w:rFonts w:cs="Arial"/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2021 році. Загалом фізичних осіб-підприємців було взято на облік більше на 6,2 %, ніж </w:t>
      </w:r>
      <w:r>
        <w:rPr>
          <w:rFonts w:cs="Arial"/>
          <w:sz w:val="28"/>
          <w:szCs w:val="28"/>
          <w:lang w:val="uk-UA"/>
        </w:rPr>
        <w:t xml:space="preserve">тих, </w:t>
      </w:r>
      <w:r>
        <w:rPr>
          <w:rFonts w:cs="Arial"/>
          <w:sz w:val="28"/>
          <w:szCs w:val="28"/>
          <w:lang w:val="uk-UA"/>
        </w:rPr>
        <w:t xml:space="preserve">які</w:t>
      </w:r>
      <w:r>
        <w:rPr>
          <w:rFonts w:cs="Arial"/>
          <w:sz w:val="28"/>
          <w:szCs w:val="28"/>
          <w:lang w:val="uk-UA"/>
        </w:rPr>
        <w:t xml:space="preserve"> припини</w:t>
      </w:r>
      <w:r>
        <w:rPr>
          <w:rFonts w:cs="Arial"/>
          <w:sz w:val="28"/>
          <w:szCs w:val="28"/>
          <w:lang w:val="uk-UA"/>
        </w:rPr>
        <w:t xml:space="preserve">ли</w:t>
      </w:r>
      <w:r>
        <w:rPr>
          <w:rFonts w:cs="Arial"/>
          <w:sz w:val="28"/>
          <w:szCs w:val="28"/>
          <w:lang w:val="uk-UA"/>
        </w:rPr>
        <w:t xml:space="preserve"> діяльність.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 підсумками 2025 року надходження від малого та середнього підприємництва до місцевих бюджетів становили понад 5,4 млрд грн (+16,6</w:t>
      </w:r>
      <w:r>
        <w:rPr>
          <w:bCs/>
          <w:sz w:val="28"/>
          <w:szCs w:val="28"/>
          <w:lang w:val="uk-UA"/>
        </w:rPr>
        <w:t xml:space="preserve"> </w:t>
      </w:r>
      <w:r>
        <w:rPr>
          <w:bCs/>
          <w:sz w:val="28"/>
          <w:szCs w:val="28"/>
          <w:lang w:val="uk-UA"/>
        </w:rPr>
        <w:t xml:space="preserve">% до 2024 року). Якщо питома вага таких надходжень у загальних обсягах місцевого бюджету за 2021 рік складала 47,3</w:t>
      </w:r>
      <w:r>
        <w:rPr>
          <w:bCs/>
          <w:sz w:val="28"/>
          <w:szCs w:val="28"/>
          <w:lang w:val="uk-UA"/>
        </w:rPr>
        <w:t xml:space="preserve"> </w:t>
      </w:r>
      <w:r>
        <w:rPr>
          <w:bCs/>
          <w:sz w:val="28"/>
          <w:szCs w:val="28"/>
          <w:lang w:val="uk-UA"/>
        </w:rPr>
        <w:t xml:space="preserve">%, то у 2025 році – 50</w:t>
      </w:r>
      <w:r>
        <w:rPr>
          <w:bCs/>
          <w:sz w:val="28"/>
          <w:szCs w:val="28"/>
          <w:lang w:val="uk-UA"/>
        </w:rPr>
        <w:t xml:space="preserve"> </w:t>
      </w:r>
      <w:r>
        <w:rPr>
          <w:bCs/>
          <w:sz w:val="28"/>
          <w:szCs w:val="28"/>
          <w:lang w:val="uk-UA"/>
        </w:rPr>
        <w:t xml:space="preserve">%.</w:t>
      </w:r>
      <w:r>
        <w:rPr>
          <w:bCs/>
          <w:sz w:val="28"/>
          <w:szCs w:val="28"/>
          <w:lang w:val="uk-UA"/>
        </w:rPr>
      </w:r>
    </w:p>
    <w:p>
      <w:pPr>
        <w:pBdr/>
        <w:spacing w:after="120" w:before="240"/>
        <w:ind w:right="-74" w:firstLine="567"/>
        <w:jc w:val="both"/>
        <w:rPr>
          <w:b/>
          <w:bCs/>
          <w:sz w:val="28"/>
          <w:szCs w:val="28"/>
          <w:lang w:val="uk-UA"/>
        </w:rPr>
      </w:pPr>
      <w:r/>
      <w:bookmarkStart w:id="4" w:name="_Hlk190270022"/>
      <w:r>
        <w:rPr>
          <w:b/>
          <w:bCs/>
          <w:sz w:val="28"/>
          <w:szCs w:val="28"/>
          <w:lang w:val="en-US"/>
        </w:rPr>
        <w:t xml:space="preserve">VI</w:t>
      </w:r>
      <w:r>
        <w:rPr>
          <w:b/>
          <w:bCs/>
          <w:sz w:val="28"/>
          <w:szCs w:val="28"/>
          <w:lang w:val="uk-UA"/>
        </w:rPr>
        <w:t xml:space="preserve">.</w:t>
      </w:r>
      <w:bookmarkEnd w:id="4"/>
      <w:r>
        <w:rPr>
          <w:b/>
          <w:bCs/>
          <w:sz w:val="28"/>
          <w:szCs w:val="28"/>
          <w:lang w:val="uk-UA"/>
        </w:rPr>
        <w:t xml:space="preserve"> РИНОК ПРАЦІ</w:t>
      </w:r>
      <w:r>
        <w:rPr>
          <w:b/>
          <w:bCs/>
          <w:sz w:val="28"/>
          <w:szCs w:val="28"/>
          <w:lang w:val="uk-UA"/>
        </w:rPr>
      </w:r>
    </w:p>
    <w:p>
      <w:pPr>
        <w:pStyle w:val="790"/>
        <w:pBdr/>
        <w:shd w:val="clear" w:color="auto" w:fill="ffffff"/>
        <w:spacing w:after="0" w:afterAutospacing="0" w:before="0" w:beforeAutospacing="0"/>
        <w:ind w:firstLine="567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Попри безпрецедентні виклики воєнного часу економіка області демонструє адаптивність через створення нових робочих місць. За результатами моніторингу, у 2025 році на новостворені ро</w:t>
      </w:r>
      <w:r>
        <w:rPr>
          <w:rFonts w:eastAsia="Calibri"/>
          <w:sz w:val="28"/>
          <w:szCs w:val="28"/>
          <w:lang w:val="uk-UA"/>
        </w:rPr>
        <w:t xml:space="preserve">бочі місця було працевлаштовано 10 748 осіб. Хоча цей показник на 3 % менший за аналогічний період попереднього року, він підтверджує стійкість місцевого бізнесу. Основним драйвером розширення ринку праці залишається мале підприємництво, яке забезпечило 75</w:t>
      </w:r>
      <w:r>
        <w:rPr>
          <w:rFonts w:eastAsia="Calibri"/>
          <w:sz w:val="28"/>
          <w:szCs w:val="28"/>
          <w:lang w:val="uk-UA"/>
        </w:rPr>
        <w:t xml:space="preserve"> </w:t>
      </w:r>
      <w:r>
        <w:rPr>
          <w:rFonts w:eastAsia="Calibri"/>
          <w:sz w:val="28"/>
          <w:szCs w:val="28"/>
          <w:lang w:val="uk-UA"/>
        </w:rPr>
        <w:t xml:space="preserve">% усіх нових робочих місць.</w:t>
      </w:r>
      <w:r>
        <w:rPr>
          <w:rFonts w:eastAsia="Calibri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фективним механізмом підтримки населення та ресурсом для відновлення громад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умовах воєнного стану </w:t>
      </w:r>
      <w:r>
        <w:rPr>
          <w:sz w:val="28"/>
          <w:szCs w:val="28"/>
          <w:lang w:val="uk-UA"/>
        </w:rPr>
        <w:t xml:space="preserve">є урядовий проєкт «Армія відновлення». До участі долучилися 51 із 57 територіальних громад.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2025 року безробітним видано 11 тис. направлень на виконання суспільно корисних робіт, що мають значення для обороноздатності та життєзабезпечення населених пунктів. Зокрема, учасники залучалися д</w:t>
      </w:r>
      <w:r>
        <w:rPr>
          <w:sz w:val="28"/>
          <w:szCs w:val="28"/>
          <w:lang w:val="uk-UA"/>
        </w:rPr>
        <w:t xml:space="preserve">о облаштування укриттів і об’єктів цивільного захисту, розбору завалів, чергування в пунктах незламності, підтримки Збройних Сил України, а також надання соціальної допомоги населенню (заготівля дров, підтримка осіб з інвалідністю та громадян похилого віку</w:t>
      </w:r>
      <w:r>
        <w:rPr>
          <w:sz w:val="28"/>
          <w:szCs w:val="28"/>
          <w:lang w:val="uk-UA"/>
        </w:rPr>
        <w:t xml:space="preserve"> тощо</w:t>
      </w:r>
      <w:r>
        <w:rPr>
          <w:sz w:val="28"/>
          <w:szCs w:val="28"/>
          <w:lang w:val="uk-UA"/>
        </w:rPr>
        <w:t xml:space="preserve">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Реалізація проєкту сприяє зміцненню безпекового потенціалу регіону та забезпечує соціальну стабільність громад шляхом тимчасової зайнятості населення.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послуги обласної служби зайнятості отримали 19 тис. осіб (+1,2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до 2024 року), з них 13,4 тис. мали статус безробітного (</w:t>
      </w:r>
      <w:r>
        <w:rPr>
          <w:sz w:val="28"/>
          <w:szCs w:val="28"/>
          <w:lang w:val="uk-UA"/>
        </w:rPr>
        <w:t xml:space="preserve">- </w:t>
      </w:r>
      <w:r>
        <w:rPr>
          <w:sz w:val="28"/>
          <w:szCs w:val="28"/>
          <w:lang w:val="uk-UA"/>
        </w:rPr>
        <w:t xml:space="preserve">8,3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 У зв’язку зі скороченням строку виплати допомоги по безробіттю до 90 днів відповідно до законодавчих змін зберіга</w:t>
      </w:r>
      <w:r>
        <w:rPr>
          <w:sz w:val="28"/>
          <w:szCs w:val="28"/>
          <w:lang w:val="uk-UA"/>
        </w:rPr>
        <w:t xml:space="preserve">ла</w:t>
      </w:r>
      <w:r>
        <w:rPr>
          <w:sz w:val="28"/>
          <w:szCs w:val="28"/>
          <w:lang w:val="uk-UA"/>
        </w:rPr>
        <w:t xml:space="preserve">ся тенденція зменшення реєстрації безробітних (</w:t>
      </w:r>
      <w:r>
        <w:rPr>
          <w:sz w:val="28"/>
          <w:szCs w:val="28"/>
          <w:lang w:val="uk-UA"/>
        </w:rPr>
        <w:t xml:space="preserve">- </w:t>
      </w:r>
      <w:r>
        <w:rPr>
          <w:sz w:val="28"/>
          <w:szCs w:val="28"/>
          <w:lang w:val="uk-UA"/>
        </w:rPr>
        <w:t xml:space="preserve">17%), найбільше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у Новгород-Сіверській філії (</w:t>
      </w:r>
      <w:r>
        <w:rPr>
          <w:sz w:val="28"/>
          <w:szCs w:val="28"/>
          <w:lang w:val="uk-UA"/>
        </w:rPr>
        <w:t xml:space="preserve">- </w:t>
      </w:r>
      <w:r>
        <w:rPr>
          <w:sz w:val="28"/>
          <w:szCs w:val="28"/>
          <w:lang w:val="uk-UA"/>
        </w:rPr>
        <w:t xml:space="preserve">29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структурі зареєстрованих безробітних переважають: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жінки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80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віком 45+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майже 50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мешканці сільської місцевості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40,4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особи, які потребують додаткових гарантій зайнятості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38,6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молодь до 35 років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22,1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</w:t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567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Основні причини незайнятості: звільнення за угодою сторін або закінчення строку договору (41,3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тривала перерва в роботі понад рік (27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року працевлаштовано 8 611 осіб (+7,3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до 2024 року), з них 4 483 безробітн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. Майже 48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громадян отримали роботу до набуття статусу безробітного. Найбільше працевлаштованих у сільському господарстві, торгівлі, переробній промисловості, освіті, державному управлінні та охороні здоров’я.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Професійне навчання пройшли 1 264 особи (+28,6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рівень подальшого працевлаштування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97,8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%. Видано 493 ваучери для осіб 45+, ветеранів, ВПО та осіб з інвалідністю.</w:t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межах експериментальних проєктів направлено на навчання 50 ветеранів та осіб з інвалідністю внаслідок війни, організовано навчання для 30 жінок за професіями, де традиційно переважали чоловіки.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громадські та тимчасові роботи видано 460 направлень, на суспільно корисні роботи – 11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001.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програмою мікрогрантів ухвалено 253 позитивні рішення, передбачено створення 465 робочих місць</w:t>
      </w:r>
      <w:r>
        <w:rPr>
          <w:sz w:val="28"/>
          <w:szCs w:val="28"/>
          <w:lang w:val="uk-UA"/>
        </w:rPr>
        <w:t xml:space="preserve"> (на це</w:t>
      </w:r>
      <w:r>
        <w:rPr>
          <w:sz w:val="28"/>
          <w:szCs w:val="28"/>
          <w:lang w:val="uk-UA"/>
        </w:rPr>
        <w:t xml:space="preserve"> з держ</w:t>
      </w:r>
      <w:r>
        <w:rPr>
          <w:sz w:val="28"/>
          <w:szCs w:val="28"/>
          <w:lang w:val="uk-UA"/>
        </w:rPr>
        <w:t xml:space="preserve">авного </w:t>
      </w:r>
      <w:r>
        <w:rPr>
          <w:sz w:val="28"/>
          <w:szCs w:val="28"/>
          <w:lang w:val="uk-UA"/>
        </w:rPr>
        <w:t xml:space="preserve">бюджету виділено </w:t>
      </w:r>
      <w:r>
        <w:rPr>
          <w:sz w:val="28"/>
          <w:szCs w:val="28"/>
          <w:lang w:val="uk-UA"/>
        </w:rPr>
        <w:t xml:space="preserve">85,1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млн гр</w:t>
      </w:r>
      <w:r>
        <w:rPr>
          <w:sz w:val="28"/>
          <w:szCs w:val="28"/>
          <w:lang w:val="uk-UA"/>
        </w:rPr>
        <w:t xml:space="preserve">н)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програмою «Грант для ветеранів» підтримано 30 проєктів, заплановано створення 60 робочих місць (14,7 млн грн).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Прийнято позитивні рішення про компенсаційні виплати роботодавцям за працевлаштування понад 400 безробітних.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база вакансій налічувала 11,6 тис. пропозицій, з них 8,7 тис. подані роботодавцями.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в області налічувалося 1 357 вакансій та 4 882 особи на обліку (4 особи на </w:t>
      </w:r>
      <w:r>
        <w:rPr>
          <w:sz w:val="28"/>
          <w:szCs w:val="28"/>
          <w:lang w:val="uk-UA"/>
        </w:rPr>
        <w:t xml:space="preserve">одну</w:t>
      </w:r>
      <w:r>
        <w:rPr>
          <w:sz w:val="28"/>
          <w:szCs w:val="28"/>
          <w:lang w:val="uk-UA"/>
        </w:rPr>
        <w:t xml:space="preserve"> вакансію). У Новгород-Сіверській громаді навантаження становило 41 особу на </w:t>
      </w:r>
      <w:r>
        <w:rPr>
          <w:sz w:val="28"/>
          <w:szCs w:val="28"/>
          <w:lang w:val="uk-UA"/>
        </w:rPr>
        <w:t xml:space="preserve">одне</w:t>
      </w:r>
      <w:r>
        <w:rPr>
          <w:sz w:val="28"/>
          <w:szCs w:val="28"/>
          <w:lang w:val="uk-UA"/>
        </w:rPr>
        <w:t xml:space="preserve"> робоче місце.</w:t>
      </w:r>
      <w:r>
        <w:rPr>
          <w:sz w:val="28"/>
          <w:szCs w:val="28"/>
          <w:lang w:val="uk-UA"/>
        </w:rPr>
      </w:r>
    </w:p>
    <w:p>
      <w:pPr>
        <w:pBdr/>
        <w:spacing w:after="120"/>
        <w:ind w:firstLine="567"/>
        <w:jc w:val="both"/>
        <w:rPr>
          <w:b/>
          <w:sz w:val="28"/>
          <w:szCs w:val="28"/>
          <w:highlight w:val="yellow"/>
          <w:lang w:val="uk-UA"/>
        </w:rPr>
      </w:pPr>
      <w:r>
        <w:rPr>
          <w:b/>
          <w:sz w:val="28"/>
          <w:szCs w:val="28"/>
          <w:lang w:val="en-US"/>
        </w:rPr>
        <w:t xml:space="preserve">V</w:t>
      </w:r>
      <w:r>
        <w:rPr>
          <w:b/>
          <w:sz w:val="28"/>
          <w:szCs w:val="28"/>
          <w:lang w:val="uk-UA"/>
        </w:rPr>
        <w:t xml:space="preserve">І</w:t>
      </w:r>
      <w:r>
        <w:rPr>
          <w:b/>
          <w:sz w:val="28"/>
          <w:szCs w:val="28"/>
          <w:lang w:val="uk-UA"/>
        </w:rPr>
        <w:t xml:space="preserve">І</w:t>
      </w:r>
      <w:r>
        <w:rPr>
          <w:b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 w:eastAsia="uk-UA"/>
        </w:rPr>
        <w:t xml:space="preserve"> </w:t>
      </w:r>
      <w:r>
        <w:rPr>
          <w:b/>
          <w:bCs/>
          <w:sz w:val="28"/>
          <w:szCs w:val="28"/>
          <w:lang w:val="uk-UA" w:eastAsia="uk-UA"/>
        </w:rPr>
        <w:t xml:space="preserve">ВЕТЕРАНСЬКА ПОЛІТИКА</w:t>
      </w:r>
      <w:r>
        <w:rPr>
          <w:b/>
          <w:sz w:val="28"/>
          <w:szCs w:val="28"/>
          <w:highlight w:val="yellow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 області </w:t>
      </w:r>
      <w:r>
        <w:rPr>
          <w:bCs/>
          <w:sz w:val="28"/>
          <w:szCs w:val="28"/>
          <w:lang w:val="uk-UA"/>
        </w:rPr>
        <w:t xml:space="preserve">у звітному періоді </w:t>
      </w:r>
      <w:r>
        <w:rPr>
          <w:bCs/>
          <w:sz w:val="28"/>
          <w:szCs w:val="28"/>
          <w:lang w:val="uk-UA"/>
        </w:rPr>
        <w:t xml:space="preserve">забезпечу</w:t>
      </w:r>
      <w:r>
        <w:rPr>
          <w:bCs/>
          <w:sz w:val="28"/>
          <w:szCs w:val="28"/>
          <w:lang w:val="uk-UA"/>
        </w:rPr>
        <w:t xml:space="preserve">вала</w:t>
      </w:r>
      <w:r>
        <w:rPr>
          <w:bCs/>
          <w:sz w:val="28"/>
          <w:szCs w:val="28"/>
          <w:lang w:val="uk-UA"/>
        </w:rPr>
        <w:t xml:space="preserve">ся реалізація державних програм, спрямованих на здійснення професійної адаптації ветеранів в</w:t>
      </w:r>
      <w:r>
        <w:rPr>
          <w:bCs/>
          <w:sz w:val="28"/>
          <w:szCs w:val="28"/>
          <w:lang w:val="uk-UA"/>
        </w:rPr>
        <w:t xml:space="preserve">ійни, членів їхніх сімей, членів сімей загиблих (померлих) ветеранів війни, а також членів сімей загиблих (померлих) Захисників і Захисниць України, та на виплату грошової компенсації за належні для отримання житлові приміщення окремим категоріям громадян.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2025 році з державного бюджету місцевим бюджетам області на виплату грошової компенсації за належні для отримання житлові приміщення виділено кошти у сумі 143,6 млн грн для 57 осіб з інвалідністю внаслідок війни І та ІІ груп, </w:t>
      </w:r>
      <w:r>
        <w:rPr>
          <w:bCs/>
          <w:sz w:val="28"/>
          <w:szCs w:val="28"/>
          <w:lang w:val="uk-UA"/>
        </w:rPr>
        <w:t xml:space="preserve">що</w:t>
      </w:r>
      <w:r>
        <w:rPr>
          <w:bCs/>
          <w:sz w:val="28"/>
          <w:szCs w:val="28"/>
          <w:lang w:val="uk-UA"/>
        </w:rPr>
        <w:t xml:space="preserve"> були перераховані на спеціальні рахунки </w:t>
      </w:r>
      <w:r>
        <w:rPr>
          <w:bCs/>
          <w:sz w:val="28"/>
          <w:szCs w:val="28"/>
          <w:lang w:val="uk-UA"/>
        </w:rPr>
        <w:t xml:space="preserve">громадян. 32 особи вже придбали житло.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на заходи з професійної адаптації ветеранів війни та членів їхніх родин було спрямовано 0,3 млн грн коштів державного бюджету.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Місцевими органами соціального захисту населення укладено 27 тристоронніх договорів про надання послуг із професійної адаптації. Станом на 01.01.2026 26 осіб завершили навчання та отримали відповідні послуги, одна особа продовж</w:t>
      </w:r>
      <w:r>
        <w:rPr>
          <w:sz w:val="28"/>
          <w:szCs w:val="28"/>
          <w:lang w:val="uk-UA"/>
        </w:rPr>
        <w:t xml:space="preserve">ила</w:t>
      </w:r>
      <w:r>
        <w:rPr>
          <w:sz w:val="28"/>
          <w:szCs w:val="28"/>
          <w:lang w:val="uk-UA"/>
        </w:rPr>
        <w:t xml:space="preserve"> навчання.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Через центри зайнятості нада</w:t>
      </w:r>
      <w:r>
        <w:rPr>
          <w:bCs/>
          <w:sz w:val="28"/>
          <w:szCs w:val="28"/>
          <w:lang w:val="uk-UA"/>
        </w:rPr>
        <w:t xml:space="preserve">валися </w:t>
      </w:r>
      <w:r>
        <w:rPr>
          <w:bCs/>
          <w:sz w:val="28"/>
          <w:szCs w:val="28"/>
          <w:lang w:val="uk-UA"/>
        </w:rPr>
        <w:t xml:space="preserve">гранти на створення або розвиток власного бізнесу учасникам бойових дій, особам з інвалідністю внаслідок війни та членам їхніх сімей. У 2025 році ухвалено 30 позитивних рішень на загальну суму 14,2 млн грн, що передбачає створення 60 робочих місць.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 області діє Програма соціальної підтримки Захисників і Захисниць України, членів їхніх сімей та осіб, які постраждали внаслідок військової агресії російської федерації на території Чернігівської області, на 2024–2026 роки.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напрямів Програми забезпечу</w:t>
      </w:r>
      <w:r>
        <w:rPr>
          <w:bCs/>
          <w:sz w:val="28"/>
          <w:szCs w:val="28"/>
          <w:lang w:val="uk-UA"/>
        </w:rPr>
        <w:t xml:space="preserve">валося </w:t>
      </w:r>
      <w:r>
        <w:rPr>
          <w:bCs/>
          <w:sz w:val="28"/>
          <w:szCs w:val="28"/>
          <w:lang w:val="uk-UA"/>
        </w:rPr>
        <w:t xml:space="preserve">надання: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щомісячної матеріальної допомоги у розмірі 500 грн членам сімей загиблих (померлих) Захисників і Захисниць України та загиблих (пропалих безвісти) військовослужбовців, які виконували інтернаціональний обов’язок в Афганістані (виплату здійснено 4</w:t>
      </w:r>
      <w:r>
        <w:rPr>
          <w:bCs/>
          <w:sz w:val="28"/>
          <w:szCs w:val="28"/>
          <w:lang w:val="en-US"/>
        </w:rPr>
        <w:t xml:space="preserve"> </w:t>
      </w:r>
      <w:r>
        <w:rPr>
          <w:bCs/>
          <w:sz w:val="28"/>
          <w:szCs w:val="28"/>
          <w:lang w:val="uk-UA"/>
        </w:rPr>
        <w:t xml:space="preserve">730 особам);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одноразової матеріальної допомоги у розмірі 5</w:t>
      </w:r>
      <w:r>
        <w:rPr>
          <w:bCs/>
          <w:sz w:val="28"/>
          <w:szCs w:val="28"/>
          <w:lang w:val="uk-UA"/>
        </w:rPr>
        <w:t xml:space="preserve"> </w:t>
      </w:r>
      <w:r>
        <w:rPr>
          <w:bCs/>
          <w:sz w:val="28"/>
          <w:szCs w:val="28"/>
          <w:lang w:val="uk-UA"/>
        </w:rPr>
        <w:t xml:space="preserve">тис. </w:t>
      </w:r>
      <w:r>
        <w:rPr>
          <w:bCs/>
          <w:sz w:val="28"/>
          <w:szCs w:val="28"/>
          <w:lang w:val="uk-UA"/>
        </w:rPr>
        <w:t xml:space="preserve">грн дітям загиблих (померлих) Захисників і Захисниць України до Дня захисту дітей (виплату здійснено 878 дітям);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послуг зі стоматологічної допомоги (спрямовано 4,9 млн грн, послуги надано 736 Захисникам і Захисницям).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Крім того, з обласного бюджету використано 0,7 млн грн на придбання 19</w:t>
      </w:r>
      <w:r>
        <w:rPr>
          <w:bCs/>
          <w:sz w:val="28"/>
          <w:szCs w:val="28"/>
          <w:lang w:val="uk-UA"/>
        </w:rPr>
        <w:t xml:space="preserve"> </w:t>
      </w:r>
      <w:r>
        <w:rPr>
          <w:bCs/>
          <w:sz w:val="28"/>
          <w:szCs w:val="28"/>
          <w:lang w:val="uk-UA"/>
        </w:rPr>
        <w:t xml:space="preserve">наборів штучних кришталиків (загалом у 2025 році кришталики встановлено 32 військовослужбовцям та ветеранам), а також 0,1 млн грн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на придбання реабілітаційного обладнання та інвентарю для Центру психологічної реабілітації КНП «Чернігівська обласна психоневрологічна лікарня» Чернігівської обласної ради.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Загалом на зазначені цілі з обласного бюджету у 2025 році спрямовано 35,5</w:t>
      </w:r>
      <w:r>
        <w:rPr>
          <w:bCs/>
          <w:sz w:val="28"/>
          <w:szCs w:val="28"/>
          <w:lang w:val="en-US"/>
        </w:rPr>
        <w:t xml:space="preserve"> </w:t>
      </w:r>
      <w:r>
        <w:rPr>
          <w:bCs/>
          <w:sz w:val="28"/>
          <w:szCs w:val="28"/>
          <w:lang w:val="uk-UA"/>
        </w:rPr>
        <w:t xml:space="preserve">млн г</w:t>
      </w:r>
      <w:r>
        <w:rPr>
          <w:bCs/>
          <w:sz w:val="28"/>
          <w:szCs w:val="28"/>
          <w:lang w:val="uk-UA"/>
        </w:rPr>
        <w:t xml:space="preserve">ривень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Область активно працює над упровадженням інституту фахівця із супроводу ветеранів війни та демобілізованих осіб. При всіх районних військових адміністраціях створено та функціонують відповідні комісії.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Якщо на початку 2025 року у 32 громадах було введено 46 посад </w:t>
      </w:r>
      <w:r>
        <w:rPr>
          <w:sz w:val="28"/>
          <w:szCs w:val="28"/>
          <w:lang w:val="uk-UA"/>
        </w:rPr>
        <w:t xml:space="preserve">фахівц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із супроводу ветеранів війни та демобілізованих осіб</w:t>
      </w:r>
      <w:r>
        <w:rPr>
          <w:sz w:val="28"/>
          <w:szCs w:val="28"/>
          <w:lang w:val="uk-UA"/>
        </w:rPr>
        <w:t xml:space="preserve"> і працевлаштовано 17 осіб, то станом на </w:t>
      </w:r>
      <w:r>
        <w:rPr>
          <w:sz w:val="28"/>
          <w:szCs w:val="28"/>
          <w:lang w:val="uk-UA"/>
        </w:rPr>
        <w:t xml:space="preserve">01.01.2026</w:t>
      </w:r>
      <w:r>
        <w:rPr>
          <w:sz w:val="28"/>
          <w:szCs w:val="28"/>
          <w:lang w:val="uk-UA"/>
        </w:rPr>
        <w:t xml:space="preserve"> у 56 громадах створено 100 посад (у центрах </w:t>
      </w:r>
      <w:r>
        <w:rPr>
          <w:sz w:val="28"/>
          <w:szCs w:val="28"/>
          <w:lang w:val="uk-UA"/>
        </w:rPr>
        <w:t xml:space="preserve">надання </w:t>
      </w:r>
      <w:r>
        <w:rPr>
          <w:sz w:val="28"/>
          <w:szCs w:val="28"/>
          <w:lang w:val="uk-UA"/>
        </w:rPr>
        <w:t xml:space="preserve">соціальних послуг, закладах охорони здоров’я, </w:t>
      </w:r>
      <w:r>
        <w:rPr>
          <w:sz w:val="28"/>
          <w:szCs w:val="28"/>
          <w:lang w:val="uk-UA"/>
        </w:rPr>
        <w:t xml:space="preserve">Чернігівському </w:t>
      </w:r>
      <w:r>
        <w:rPr>
          <w:sz w:val="28"/>
          <w:szCs w:val="28"/>
          <w:lang w:val="uk-UA"/>
        </w:rPr>
        <w:t xml:space="preserve">обласному центрі ветеранів війни та Ветеранському просторі</w:t>
      </w:r>
      <w:r>
        <w:rPr>
          <w:sz w:val="28"/>
          <w:szCs w:val="28"/>
          <w:lang w:val="uk-UA"/>
        </w:rPr>
        <w:t xml:space="preserve"> Чернігівської міської ради</w:t>
      </w:r>
      <w:r>
        <w:rPr>
          <w:sz w:val="28"/>
          <w:szCs w:val="28"/>
          <w:lang w:val="uk-UA"/>
        </w:rPr>
        <w:t xml:space="preserve">). Наразі працевлаштовано 86 осіб, з них 22 – у закладах охорони здоров’я.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фахівцями із супроводу взято під супровід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122 особи </w:t>
      </w:r>
      <w:r>
        <w:rPr>
          <w:sz w:val="28"/>
          <w:szCs w:val="28"/>
          <w:lang w:val="uk-UA"/>
        </w:rPr>
        <w:t xml:space="preserve">з числа </w:t>
      </w:r>
      <w:r>
        <w:rPr>
          <w:sz w:val="28"/>
          <w:szCs w:val="28"/>
          <w:lang w:val="uk-UA"/>
        </w:rPr>
        <w:t xml:space="preserve">ветеранів війни та демобілізованих осіб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надано 15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828 заходів підтримки.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Крім того, фахівці здійсню</w:t>
      </w:r>
      <w:r>
        <w:rPr>
          <w:sz w:val="28"/>
          <w:szCs w:val="28"/>
          <w:lang w:val="uk-UA"/>
        </w:rPr>
        <w:t xml:space="preserve">вали</w:t>
      </w:r>
      <w:r>
        <w:rPr>
          <w:sz w:val="28"/>
          <w:szCs w:val="28"/>
          <w:lang w:val="uk-UA"/>
        </w:rPr>
        <w:t xml:space="preserve"> консультування ветеранів війни та членів їхніх родин, які не виявили бажання ставати на супровід. У 2025 році надано 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751 консультацію 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203 особам.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Комунальна установа «Чернігівський обласний центр ветеранів війни» Чернігівської обласної ради забезпечу</w:t>
      </w:r>
      <w:r>
        <w:rPr>
          <w:sz w:val="28"/>
          <w:szCs w:val="28"/>
          <w:lang w:val="uk-UA"/>
        </w:rPr>
        <w:t xml:space="preserve">вала</w:t>
      </w:r>
      <w:r>
        <w:rPr>
          <w:sz w:val="28"/>
          <w:szCs w:val="28"/>
          <w:lang w:val="uk-UA"/>
        </w:rPr>
        <w:t xml:space="preserve"> надання послуг із психологічної підтримки та відновлення здоров’я ветеранам війни, членам їхніх сімей, членам сімей загиблих (померлих) ветеранів війни, Захисників і Захисниць України. У 2025 році</w:t>
      </w:r>
      <w:r>
        <w:rPr>
          <w:sz w:val="28"/>
          <w:szCs w:val="28"/>
          <w:lang w:val="uk-UA"/>
        </w:rPr>
        <w:t xml:space="preserve"> до Центру</w:t>
      </w:r>
      <w:r>
        <w:rPr>
          <w:sz w:val="28"/>
          <w:szCs w:val="28"/>
          <w:lang w:val="uk-UA"/>
        </w:rPr>
        <w:t xml:space="preserve"> звернул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ся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004 особи, яким надано 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450 послуг з психологічної, соціальної та фізичної реабілітації.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Також ветеран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війни, член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їхніх сімей та сімей загиблих воїнів</w:t>
      </w:r>
      <w:r>
        <w:rPr>
          <w:sz w:val="28"/>
          <w:szCs w:val="28"/>
          <w:lang w:val="uk-UA"/>
        </w:rPr>
        <w:t xml:space="preserve"> мали змогу </w:t>
      </w:r>
      <w:r>
        <w:rPr>
          <w:sz w:val="28"/>
          <w:szCs w:val="28"/>
          <w:lang w:val="uk-UA"/>
        </w:rPr>
        <w:t xml:space="preserve">отримати відповідні консультації</w:t>
      </w:r>
      <w:r>
        <w:rPr>
          <w:sz w:val="28"/>
          <w:szCs w:val="28"/>
          <w:lang w:val="uk-UA"/>
        </w:rPr>
        <w:t xml:space="preserve"> через</w:t>
      </w:r>
      <w:r>
        <w:rPr>
          <w:sz w:val="28"/>
          <w:szCs w:val="28"/>
          <w:lang w:val="uk-UA"/>
        </w:rPr>
        <w:t xml:space="preserve"> телефонн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ліні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підтримки</w:t>
      </w:r>
      <w:r>
        <w:rPr>
          <w:sz w:val="28"/>
          <w:szCs w:val="28"/>
          <w:lang w:val="uk-UA"/>
        </w:rPr>
        <w:t xml:space="preserve">, яка діє при Центрі.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2024 року в області реалізується пілотний проєкт зі створення кабінетів турботи про ветерана в закладах охорони здоров’я. Такі кабінети відкрито на базі КНП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«Чернігівська обласна лікарня» Чернігівської обласної ради та КНП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«Ніжинська центральна міська лікарня імені М. Галицького»</w:t>
      </w:r>
      <w:r>
        <w:rPr>
          <w:sz w:val="28"/>
          <w:szCs w:val="28"/>
          <w:lang w:val="uk-UA"/>
        </w:rPr>
        <w:t xml:space="preserve">, де </w:t>
      </w:r>
      <w:r>
        <w:rPr>
          <w:sz w:val="28"/>
          <w:szCs w:val="28"/>
          <w:lang w:val="uk-UA"/>
        </w:rPr>
        <w:t xml:space="preserve">створено сприятливі умови для соціальної адаптації ветеранів, надання їм необхідної допомоги та підтримки.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Кабіне</w:t>
      </w:r>
      <w:r>
        <w:rPr>
          <w:sz w:val="28"/>
          <w:szCs w:val="28"/>
          <w:lang w:val="uk-UA"/>
        </w:rPr>
        <w:t xml:space="preserve">ти оснащено сучасним комп’ютерним обладнанням із доступом до мережі Інтернет, необхідною оргтехнікою та меблями. Під час облаштування враховано принципи безбар’єрності. У кабінетах працюють фахівці із супроводу ветеранів війни та демобілізованих осіб, які </w:t>
      </w:r>
      <w:r>
        <w:rPr>
          <w:sz w:val="28"/>
          <w:szCs w:val="28"/>
          <w:lang w:val="uk-UA"/>
        </w:rPr>
        <w:t xml:space="preserve">надають юридичну й соціальну допомогу, а також консультації з питань реабілітації, працевлаштування та участі в державних програмах підтримки.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27 спортивних клубів долучилися до програми «Ветеранський спорт», яка передбачає надання фінансової допомоги у розмірі 1,5 тис. грн щоквартально для підтримки фізичної активності ветеранів.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Важливим напрямом підтримки та інтеграції ветеранів є розвиток мережі ветеранських просторів і хабів. У територіальних громадах області функціонують 8 </w:t>
      </w:r>
      <w:r>
        <w:rPr>
          <w:sz w:val="28"/>
          <w:szCs w:val="28"/>
          <w:lang w:val="uk-UA"/>
        </w:rPr>
        <w:t xml:space="preserve">таких осередків, 4 з яких відкрито у 2025 році (</w:t>
      </w:r>
      <w:r>
        <w:rPr>
          <w:sz w:val="28"/>
          <w:szCs w:val="28"/>
          <w:lang w:val="uk-UA"/>
        </w:rPr>
        <w:t xml:space="preserve">по одному 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Іванів</w:t>
      </w:r>
      <w:r>
        <w:rPr>
          <w:sz w:val="28"/>
          <w:szCs w:val="28"/>
          <w:lang w:val="uk-UA"/>
        </w:rPr>
        <w:t xml:space="preserve">ці</w:t>
      </w:r>
      <w:r>
        <w:rPr>
          <w:sz w:val="28"/>
          <w:szCs w:val="28"/>
          <w:lang w:val="uk-UA"/>
        </w:rPr>
        <w:t xml:space="preserve"> Чернігівського району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м.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Борзн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два </w:t>
      </w:r>
      <w:r>
        <w:rPr>
          <w:sz w:val="28"/>
          <w:szCs w:val="28"/>
          <w:lang w:val="uk-UA"/>
        </w:rPr>
        <w:t xml:space="preserve">у м.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Прилук</w:t>
      </w:r>
      <w:r>
        <w:rPr>
          <w:sz w:val="28"/>
          <w:szCs w:val="28"/>
          <w:lang w:val="uk-UA"/>
        </w:rPr>
        <w:t xml:space="preserve">ах).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Основною метою діяльності таких просторів є надання психологічної та соціальної підтримки ветеранам війни і членам їхніх родин, сприяння реабілітації, підвищенн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  <w:lang w:val="uk-UA"/>
        </w:rPr>
        <w:t xml:space="preserve"> соціально-психологічної адаптації, а також забезпечення юридичного консультування.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еалізація проєкту зі створення ветеранського простору за підтримки Програми розвитку ООН в Україні триває 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Ріпкинській територіальній громаді. Також опрацьовується питання відкриття відповідного простору на базі центру надання соціальних послуг Ічнянської міської ради.</w:t>
      </w:r>
      <w:r>
        <w:rPr>
          <w:sz w:val="28"/>
          <w:szCs w:val="28"/>
          <w:lang w:val="uk-UA"/>
        </w:rPr>
      </w:r>
    </w:p>
    <w:p>
      <w:pPr>
        <w:pBdr/>
        <w:spacing w:after="12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V</w:t>
      </w:r>
      <w:r>
        <w:rPr>
          <w:b/>
          <w:sz w:val="28"/>
          <w:szCs w:val="28"/>
          <w:lang w:val="uk-UA"/>
        </w:rPr>
        <w:t xml:space="preserve">I</w:t>
      </w:r>
      <w:r>
        <w:rPr>
          <w:b/>
          <w:sz w:val="28"/>
          <w:szCs w:val="28"/>
          <w:lang w:val="uk-UA"/>
        </w:rPr>
        <w:t xml:space="preserve">І</w:t>
      </w:r>
      <w:r>
        <w:rPr>
          <w:b/>
          <w:sz w:val="28"/>
          <w:szCs w:val="28"/>
          <w:lang w:val="uk-UA"/>
        </w:rPr>
        <w:t xml:space="preserve">І</w:t>
      </w:r>
      <w:r>
        <w:rPr>
          <w:b/>
          <w:sz w:val="28"/>
          <w:szCs w:val="28"/>
          <w:lang w:val="uk-UA"/>
        </w:rPr>
        <w:t xml:space="preserve">. СОЦІАЛЬНА ПОЛІТИКА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/>
      <w:bookmarkStart w:id="5" w:name="_Hlk158896627"/>
      <w:r>
        <w:rPr>
          <w:b/>
          <w:sz w:val="28"/>
          <w:szCs w:val="28"/>
          <w:lang w:val="uk-UA"/>
        </w:rPr>
        <w:t xml:space="preserve">Соціальний захист населення </w:t>
      </w:r>
      <w:bookmarkEnd w:id="5"/>
      <w:r>
        <w:rPr>
          <w:b/>
          <w:sz w:val="28"/>
          <w:szCs w:val="28"/>
          <w:lang w:val="uk-UA"/>
        </w:rPr>
        <w:t xml:space="preserve">та пенсійне забезпечення </w:t>
      </w:r>
      <w:r>
        <w:rPr>
          <w:b/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01.07.2025 в області державні соціальні допомоги отримували 46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895 осіб. Видатки на їх виплату становили 828,8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01.07.2025 функції з призначення та виплати державних соціальних допомог передані </w:t>
      </w:r>
      <w:r>
        <w:rPr>
          <w:sz w:val="28"/>
          <w:szCs w:val="28"/>
          <w:lang w:val="uk-UA"/>
        </w:rPr>
        <w:t xml:space="preserve">від органів соціального захисту населення </w:t>
      </w:r>
      <w:r>
        <w:rPr>
          <w:sz w:val="28"/>
          <w:szCs w:val="28"/>
          <w:lang w:val="uk-UA"/>
        </w:rPr>
        <w:t xml:space="preserve">органам Пенсійного фонду України.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01.07.2025 призначено 13,8 тис. державних соціальних допомог. Фінансування таких допомог у ІІ півріччі 2025 року становило 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03</w:t>
      </w:r>
      <w:r>
        <w:rPr>
          <w:sz w:val="28"/>
          <w:szCs w:val="28"/>
          <w:lang w:val="uk-UA"/>
        </w:rPr>
        <w:t xml:space="preserve"> млрд гривень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Забезпечено виплати: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 Дня Незалежності України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53,9 млн грн (45,8 тис. осіб);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інші виплати відповідно до урядових програм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104,5 млн грн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соціальні стипендії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11,1 млн грн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;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компенсації постраждалим від аварії на ЧАЕС </w:t>
      </w:r>
      <w:r>
        <w:rPr>
          <w:sz w:val="28"/>
          <w:szCs w:val="28"/>
          <w:lang w:val="uk-UA"/>
        </w:rPr>
        <w:t xml:space="preserve">(</w:t>
      </w:r>
      <w:r>
        <w:rPr>
          <w:sz w:val="28"/>
          <w:szCs w:val="28"/>
          <w:lang w:val="uk-UA"/>
        </w:rPr>
        <w:t xml:space="preserve">4,6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млн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грн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Загальні видатки на пенсійні та інші соціальні виплати становили 25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5 млрд </w:t>
      </w:r>
      <w:r>
        <w:rPr>
          <w:sz w:val="28"/>
          <w:szCs w:val="28"/>
          <w:lang w:val="uk-UA"/>
        </w:rPr>
        <w:t xml:space="preserve">грн, що на 14% більше, ніж у 2024 році.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структурі видатків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пенсійні виплати </w:t>
      </w:r>
      <w:r>
        <w:rPr>
          <w:sz w:val="28"/>
          <w:szCs w:val="28"/>
          <w:lang w:val="uk-UA"/>
        </w:rPr>
        <w:t xml:space="preserve">склали </w:t>
      </w:r>
      <w:r>
        <w:rPr>
          <w:sz w:val="28"/>
          <w:szCs w:val="28"/>
          <w:lang w:val="uk-UA"/>
        </w:rPr>
        <w:t xml:space="preserve">84%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субсидії та пільги – 7%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страхові виплати та соціальні послуги – 2,3%.</w:t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Чернігівської області у 2025 році соціальні послуги надавали</w:t>
      </w:r>
      <w:r>
        <w:rPr>
          <w:sz w:val="28"/>
          <w:szCs w:val="28"/>
          <w:lang w:val="uk-UA"/>
        </w:rPr>
        <w:t xml:space="preserve"> 9 </w:t>
      </w:r>
      <w:r>
        <w:rPr>
          <w:sz w:val="28"/>
          <w:szCs w:val="28"/>
          <w:lang w:val="uk-UA"/>
        </w:rPr>
        <w:t xml:space="preserve">територіальних центрів соціального обслуговування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9 центрів соціальних служб, </w:t>
      </w:r>
      <w:r>
        <w:rPr>
          <w:sz w:val="28"/>
          <w:szCs w:val="28"/>
          <w:lang w:val="uk-UA"/>
        </w:rPr>
        <w:t xml:space="preserve">43 центри надання соціальних послуг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4 комунальні некомерційні підприємства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10 надавачів соціальних послуг недержавного сектору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Обласний центр комплексної реабілітації дітей з інвалідністю «Відродження»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Обласний соціальний гуртожиток для дітей-сиріт та дітей, позбавлених батьківського піклування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Обласний центр соціальної адаптації.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звітному періоді створено центри надання соціальних послуг у </w:t>
      </w:r>
      <w:r>
        <w:rPr>
          <w:sz w:val="28"/>
          <w:szCs w:val="28"/>
          <w:lang w:val="uk-UA"/>
        </w:rPr>
        <w:t xml:space="preserve">Дмитрівській, </w:t>
      </w:r>
      <w:r>
        <w:rPr>
          <w:sz w:val="28"/>
          <w:szCs w:val="28"/>
          <w:lang w:val="uk-UA"/>
        </w:rPr>
        <w:t xml:space="preserve">Козелецькій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Крутівській, Куликівській,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Семенівській, Сосницькій </w:t>
      </w:r>
      <w:r>
        <w:rPr>
          <w:sz w:val="28"/>
          <w:szCs w:val="28"/>
          <w:lang w:val="uk-UA"/>
        </w:rPr>
        <w:t xml:space="preserve">територіальних громадах.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Гончарівській територіальній громаді відкрито відділення стаціонарного догляду для осіб похилого віку та осіб з інвалідністю, розраховане на 15 ліжко-місць.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У системі соціального захисту населення області функціону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інтернатних установ: </w:t>
      </w:r>
      <w:r>
        <w:rPr>
          <w:sz w:val="28"/>
          <w:szCs w:val="28"/>
          <w:lang w:val="uk-UA"/>
        </w:rPr>
        <w:t xml:space="preserve">два </w:t>
      </w:r>
      <w:r>
        <w:rPr>
          <w:sz w:val="28"/>
          <w:szCs w:val="28"/>
          <w:lang w:val="uk-UA"/>
        </w:rPr>
        <w:t xml:space="preserve">геріатричн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пансіонати,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психоневрологічних інтернатів та </w:t>
      </w:r>
      <w:r>
        <w:rPr>
          <w:sz w:val="28"/>
          <w:szCs w:val="28"/>
          <w:lang w:val="uk-UA"/>
        </w:rPr>
        <w:t xml:space="preserve">один </w:t>
      </w:r>
      <w:r>
        <w:rPr>
          <w:sz w:val="28"/>
          <w:szCs w:val="28"/>
          <w:lang w:val="uk-UA"/>
        </w:rPr>
        <w:t xml:space="preserve">дитячий будинок-інтернат, розрахован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для проживання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835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підопічних. Станом на 01.01.2026 в інтернатних установах перебувал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837 підопічних, з них – 30 дітей з інвалідністю віком від 4 до 18 років.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 xml:space="preserve">Протягом 2025 року влаштовано 338 осіб.</w:t>
      </w:r>
      <w:r>
        <w:rPr>
          <w:sz w:val="28"/>
          <w:szCs w:val="28"/>
          <w:lang w:val="uk-UA" w:eastAsia="uk-UA"/>
        </w:rPr>
      </w:r>
    </w:p>
    <w:p>
      <w:pPr>
        <w:pBdr/>
        <w:tabs>
          <w:tab w:val="left" w:leader="none" w:pos="567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на утримання зазначених</w:t>
      </w:r>
      <w:r>
        <w:rPr>
          <w:sz w:val="28"/>
          <w:szCs w:val="28"/>
          <w:lang w:val="uk-UA"/>
        </w:rPr>
        <w:t xml:space="preserve"> установ з обласного бюджету спрямовано 339,8 млн грн, що </w:t>
      </w:r>
      <w:r>
        <w:rPr>
          <w:sz w:val="28"/>
          <w:szCs w:val="28"/>
          <w:lang w:val="uk-UA"/>
        </w:rPr>
        <w:t xml:space="preserve">на 48,7 млн грн більше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ніж у 2024 році (на 16,7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%).</w:t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567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оціальні послуги отримали 48 733 особи. Найбільш затребуваними були</w:t>
      </w:r>
      <w:r>
        <w:rPr>
          <w:sz w:val="28"/>
          <w:szCs w:val="28"/>
          <w:lang w:val="uk-UA"/>
        </w:rPr>
        <w:t xml:space="preserve"> такі послуги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консультування – 22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020 осіб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натуральна допомога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17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658 осіб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догляд вдома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191 особа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представництво інтересів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10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839 осіб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соціальна адаптація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343 особи.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підвищення доступності послуг в області впроваджу</w:t>
      </w:r>
      <w:r>
        <w:rPr>
          <w:sz w:val="28"/>
          <w:szCs w:val="28"/>
          <w:lang w:val="uk-UA"/>
        </w:rPr>
        <w:t xml:space="preserve">вали</w:t>
      </w:r>
      <w:r>
        <w:rPr>
          <w:sz w:val="28"/>
          <w:szCs w:val="28"/>
          <w:lang w:val="uk-UA"/>
        </w:rPr>
        <w:t xml:space="preserve">ся інноваційні практики: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«Простори соціальної адаптації», «Мобільна </w:t>
      </w:r>
      <w:r>
        <w:rPr>
          <w:sz w:val="28"/>
          <w:szCs w:val="28"/>
          <w:lang w:val="uk-UA"/>
        </w:rPr>
        <w:t xml:space="preserve">соціальна служба», «Університет ІІІ віку», «Соціальна пральня», «Соціальна перукарня», «Супровід під час інклюзивного навчання», «Денний догляд для дітей з інвалідністю», «Фізичний супровід осіб та дітей з інвалідністю, які мають порушення опорно-рухового </w:t>
      </w:r>
      <w:r>
        <w:rPr>
          <w:sz w:val="28"/>
          <w:szCs w:val="28"/>
          <w:lang w:val="uk-UA"/>
        </w:rPr>
        <w:t xml:space="preserve">апарату та пересуваються на кріслах колісних».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межах Всеукраїнської програми ментального здоров’я «Ти як?» в 11 територіальних громадах області функціонують Центри життєстійкості</w:t>
      </w:r>
      <w:r>
        <w:rPr>
          <w:sz w:val="28"/>
          <w:szCs w:val="28"/>
          <w:lang w:val="uk-UA"/>
        </w:rPr>
        <w:t xml:space="preserve">. Н</w:t>
      </w:r>
      <w:r>
        <w:rPr>
          <w:sz w:val="28"/>
          <w:szCs w:val="28"/>
          <w:lang w:val="uk-UA"/>
        </w:rPr>
        <w:t xml:space="preserve">адавачами послуг є 6 громадських організацій та 3 комунальні некомерційні підприємства.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720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</w:t>
      </w:r>
      <w:r>
        <w:rPr>
          <w:sz w:val="28"/>
          <w:szCs w:val="28"/>
          <w:lang w:val="uk-UA"/>
        </w:rPr>
        <w:t xml:space="preserve">послуги із соціального захисту </w:t>
      </w:r>
      <w:r>
        <w:rPr>
          <w:sz w:val="28"/>
          <w:szCs w:val="28"/>
          <w:lang w:val="uk-UA"/>
        </w:rPr>
        <w:t xml:space="preserve">отримали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138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бездомних осіб та 420 осіб, звільнених з місць позбавлення волі.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статус постраждалих внаслідок аварії на Чорнобильській АЕС ма</w:t>
      </w:r>
      <w:r>
        <w:rPr>
          <w:sz w:val="28"/>
          <w:szCs w:val="28"/>
          <w:lang w:val="uk-UA"/>
        </w:rPr>
        <w:t xml:space="preserve">ли </w:t>
      </w:r>
      <w:r>
        <w:rPr>
          <w:sz w:val="28"/>
          <w:szCs w:val="28"/>
          <w:lang w:val="uk-UA"/>
        </w:rPr>
        <w:t xml:space="preserve">55,2 тис. осіб, серед яких 4,6 тис. дітей, 6,4 тис. учасників ліквідації наслідків аварії на ЧАЕС та 3,9 тис. осіб з інвалідністю.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органах соціального захисту населення на обліку щодо забезпечення санаторно-курортним лікуванням перебува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майже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тис. осіб з інвалідністю.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Дві</w:t>
      </w:r>
      <w:r>
        <w:rPr>
          <w:sz w:val="28"/>
          <w:szCs w:val="28"/>
          <w:lang w:val="uk-UA"/>
        </w:rPr>
        <w:t xml:space="preserve"> особи, щодо яких встановлено факт позбавлення особистої свободи внаслідок збройної агресії проти України, направлені на лікування.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обліку для забезпечення автомобілями перебува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359 осіб. Закупівля автомобілів за кошти державного бюджету </w:t>
      </w:r>
      <w:r>
        <w:rPr>
          <w:sz w:val="28"/>
          <w:szCs w:val="28"/>
          <w:lang w:val="uk-UA"/>
        </w:rPr>
        <w:t xml:space="preserve">протягом звітного періоду </w:t>
      </w:r>
      <w:r>
        <w:rPr>
          <w:sz w:val="28"/>
          <w:szCs w:val="28"/>
          <w:lang w:val="uk-UA"/>
        </w:rPr>
        <w:t xml:space="preserve">не здійсню</w:t>
      </w:r>
      <w:r>
        <w:rPr>
          <w:sz w:val="28"/>
          <w:szCs w:val="28"/>
          <w:lang w:val="uk-UA"/>
        </w:rPr>
        <w:t xml:space="preserve">валась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Протягом 2025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424 особи отримали компенсацію на бензин, ремонт і технічне обслуговування (225,8 тис. грн)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900 осіб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компенсацію на транспортне обслуговування (610,7 тис. грн)</w:t>
      </w:r>
      <w:r>
        <w:rPr>
          <w:sz w:val="28"/>
          <w:szCs w:val="28"/>
          <w:lang w:val="uk-UA"/>
        </w:rPr>
        <w:t xml:space="preserve">. П</w:t>
      </w:r>
      <w:r>
        <w:rPr>
          <w:sz w:val="28"/>
          <w:szCs w:val="28"/>
          <w:lang w:val="uk-UA"/>
        </w:rPr>
        <w:t xml:space="preserve">ередано у власність особам з інвалідністю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автомобілі (строк експлуатації понад 10 років).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отримання комплексу реабілітаційних послуг </w:t>
      </w: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комунальних реабілітаційних установ області направлено 710 дітей з інвалідністю, 71 дитину </w:t>
      </w:r>
      <w:r>
        <w:rPr>
          <w:sz w:val="28"/>
          <w:szCs w:val="28"/>
          <w:lang w:val="uk-UA"/>
        </w:rPr>
        <w:t xml:space="preserve">віком до 3-х років, які належать до групи ризику щодо отримання інвалідності (з метою запобігання виникненню інвалідності).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434 дитини отримали </w:t>
      </w:r>
      <w:r>
        <w:rPr>
          <w:sz w:val="28"/>
          <w:szCs w:val="28"/>
          <w:lang w:val="uk-UA"/>
        </w:rPr>
        <w:t xml:space="preserve">комплекс реабілітаційних послуг </w:t>
      </w:r>
      <w:r>
        <w:rPr>
          <w:sz w:val="28"/>
          <w:szCs w:val="28"/>
          <w:lang w:val="uk-UA"/>
        </w:rPr>
        <w:t xml:space="preserve">за рахунок коштів державного бюджету.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державних реабілітаційних установ направлено 120 осіб з інвалідністю (у тому числі 12 дітей та 74 військовослужбовці), що у 5,5 раз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більше, ніж у 2024 році.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на обліку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Головн</w:t>
      </w:r>
      <w:r>
        <w:rPr>
          <w:sz w:val="28"/>
          <w:szCs w:val="28"/>
          <w:lang w:val="uk-UA"/>
        </w:rPr>
        <w:t xml:space="preserve">ому</w:t>
      </w:r>
      <w:r>
        <w:rPr>
          <w:sz w:val="28"/>
          <w:szCs w:val="28"/>
          <w:lang w:val="uk-UA"/>
        </w:rPr>
        <w:t xml:space="preserve"> управлінн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bookmarkStart w:id="6" w:name="_Hlk221800329"/>
      <w:r>
        <w:rPr>
          <w:sz w:val="28"/>
          <w:szCs w:val="28"/>
          <w:lang w:val="uk-UA"/>
        </w:rPr>
        <w:t xml:space="preserve">Пенсійного фонду України в області </w:t>
      </w:r>
      <w:bookmarkEnd w:id="6"/>
      <w:r>
        <w:rPr>
          <w:sz w:val="28"/>
          <w:szCs w:val="28"/>
          <w:lang w:val="uk-UA"/>
        </w:rPr>
        <w:t xml:space="preserve">перебувал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300,1 тис. пенсіонерів, що на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тис. менше, ніж </w:t>
      </w:r>
      <w:r>
        <w:rPr>
          <w:sz w:val="28"/>
          <w:szCs w:val="28"/>
          <w:lang w:val="uk-UA"/>
        </w:rPr>
        <w:t xml:space="preserve">у 2024 році</w:t>
      </w:r>
      <w:r>
        <w:rPr>
          <w:sz w:val="28"/>
          <w:szCs w:val="28"/>
          <w:lang w:val="uk-UA"/>
        </w:rPr>
        <w:t xml:space="preserve">. Призначено 13,7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тис. нових пенсій, проведено понад 84 тис. індивідуальних перерахунків, а також масов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перерахунк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пенсій та страхових виплат у встановлені законодавством терміни.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Середній розмір пенсії </w:t>
      </w:r>
      <w:r>
        <w:rPr>
          <w:sz w:val="28"/>
          <w:szCs w:val="28"/>
          <w:lang w:val="uk-UA"/>
        </w:rPr>
        <w:t xml:space="preserve">в області за 2025 рік </w:t>
      </w:r>
      <w:r>
        <w:rPr>
          <w:sz w:val="28"/>
          <w:szCs w:val="28"/>
          <w:lang w:val="uk-UA"/>
        </w:rPr>
        <w:t xml:space="preserve">зріс на 705 грн (+13,1%) з 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378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грн до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083 гр</w:t>
      </w:r>
      <w:r>
        <w:rPr>
          <w:sz w:val="28"/>
          <w:szCs w:val="28"/>
          <w:lang w:val="uk-UA"/>
        </w:rPr>
        <w:t xml:space="preserve">ивень.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кінець року на обліку перебувал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82,7 тис. домогосподарств одержувачів субсидій та 44,4 тис. осіб одержувачів пільг.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Середній розмір субсидії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681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грн, пільги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920 гр</w:t>
      </w:r>
      <w:r>
        <w:rPr>
          <w:sz w:val="28"/>
          <w:szCs w:val="28"/>
          <w:lang w:val="uk-UA"/>
        </w:rPr>
        <w:t xml:space="preserve">ивень.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Опрацьовано 67,2 тис. звернень щодо призначення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/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перерахунку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житлових субсидій та пільг на оплату житлово-комунальних послуг. Призначено 26 тис. субсидій і 10 тис. пільг. Відмовлено у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472 випадках.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Страхові виплати за загальнообов’язковим державним соціальним страхуванням від нещасного випадку на виробництві та професійного захворювання, які спричинили втрату працездатності, на кінець року одержували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442 особи, середній розмір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898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Грошову компенсацію за надання соціальної послуги догляду вдома отримували 32 одержувачі, середній розмір компенсаційної виплати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000 гривень.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Опрацьовано 49,3 тис. заяв-розрахунків по тимчасовій непрацездатності; профінансовано 474,3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Відділами обслуговування громадян Головного управління Пенсійного фонду України в області </w:t>
      </w:r>
      <w:r>
        <w:rPr>
          <w:sz w:val="28"/>
          <w:szCs w:val="28"/>
          <w:lang w:val="uk-UA"/>
        </w:rPr>
        <w:t xml:space="preserve">н</w:t>
      </w:r>
      <w:r>
        <w:rPr>
          <w:sz w:val="28"/>
          <w:szCs w:val="28"/>
          <w:lang w:val="uk-UA"/>
        </w:rPr>
        <w:t xml:space="preserve">адано 460,6 тис. послуг, у тому числі 354 тис.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у сервісних центрах, 96,6 тис.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дистанційно. Виїзні прийоми </w:t>
      </w:r>
      <w:r>
        <w:rPr>
          <w:sz w:val="28"/>
          <w:szCs w:val="28"/>
          <w:lang w:val="uk-UA"/>
        </w:rPr>
        <w:t xml:space="preserve">з урахуванням безпекової ситуації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проводилися у 29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територіальних громадах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20"/>
        </w:tabs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Соціальний захист внутрішньо переміщених осіб</w:t>
      </w:r>
      <w:r>
        <w:rPr>
          <w:b/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в області облікову</w:t>
      </w:r>
      <w:r>
        <w:rPr>
          <w:sz w:val="28"/>
          <w:szCs w:val="28"/>
          <w:lang w:val="uk-UA"/>
        </w:rPr>
        <w:t xml:space="preserve">валося</w:t>
      </w:r>
      <w:r>
        <w:rPr>
          <w:sz w:val="28"/>
          <w:szCs w:val="28"/>
          <w:lang w:val="uk-UA"/>
        </w:rPr>
        <w:t xml:space="preserve"> 69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411 внутрішньо переміщених осіб.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Розпорядженням начальника </w:t>
      </w:r>
      <w:r>
        <w:rPr>
          <w:sz w:val="28"/>
          <w:szCs w:val="28"/>
          <w:lang w:val="uk-UA"/>
        </w:rPr>
        <w:t xml:space="preserve">Чернігівської обласної державної адміністрації </w:t>
      </w:r>
      <w:r>
        <w:rPr>
          <w:sz w:val="28"/>
          <w:szCs w:val="28"/>
          <w:lang w:val="uk-UA"/>
        </w:rPr>
        <w:t xml:space="preserve">від 10.11.2023 №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734 затверджено Перелік місць тимчасового проживання, до якого включено 9 МТП загальною місткістю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428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ліжко-місць.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фонду житла для тимчасового проживання, сформованого територіальними громадами, включено 272 житлові приміщення. До житлового фонду соціального призначення віднесено 39 об’єктів.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підтримки міжнародних організацій встановлено 226 індивідуальних модульних будинків для осіб, житло яких було пошкоджено або зруйновано. У </w:t>
      </w:r>
      <w:r>
        <w:rPr>
          <w:sz w:val="28"/>
          <w:szCs w:val="28"/>
          <w:lang w:val="uk-UA"/>
        </w:rPr>
        <w:t xml:space="preserve">комунальну власність громад передано 26 модульних будинків для проживання </w:t>
      </w:r>
      <w:r>
        <w:rPr>
          <w:sz w:val="28"/>
          <w:szCs w:val="28"/>
          <w:lang w:val="uk-UA"/>
        </w:rPr>
        <w:t xml:space="preserve">внутрішньо переміщених осіб.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Комарівській та Сосницькій територіальних громадах заплановано реконструкцію двох об’єктів комунальної власності під житло для ВПО. У 2025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році придбано будівельні матеріали на суму 892,4 тис. грн, які буде використано у 2026 році для проведення відповідних робіт.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діє Координаційна комісія з обліку об’єктів нерухомого майна для проживання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ідповідні комісії функціонують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ри районних державних адміністраціях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Сформовано перелік із 100 об’єктів (33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державної, 67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комунальної форми власності). Обстежено 85 об’єктів, </w:t>
      </w:r>
      <w:r>
        <w:rPr>
          <w:sz w:val="28"/>
          <w:szCs w:val="28"/>
          <w:lang w:val="uk-UA"/>
        </w:rPr>
        <w:t xml:space="preserve">про що</w:t>
      </w:r>
      <w:r>
        <w:rPr>
          <w:sz w:val="28"/>
          <w:szCs w:val="28"/>
          <w:lang w:val="uk-UA"/>
        </w:rPr>
        <w:t xml:space="preserve"> складено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акти. Решта не обстежена з причин безпекової ситуації (6), відсутності дозволів власників (4) або перебування в оренді (5).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</w:t>
      </w:r>
      <w:r>
        <w:rPr>
          <w:sz w:val="28"/>
          <w:szCs w:val="28"/>
          <w:lang w:val="uk-UA"/>
        </w:rPr>
        <w:t xml:space="preserve">овувалася </w:t>
      </w:r>
      <w:r>
        <w:rPr>
          <w:sz w:val="28"/>
          <w:szCs w:val="28"/>
          <w:lang w:val="uk-UA"/>
        </w:rPr>
        <w:t xml:space="preserve">обласна Програма підтримки </w:t>
      </w:r>
      <w:r>
        <w:rPr>
          <w:sz w:val="28"/>
          <w:szCs w:val="28"/>
          <w:lang w:val="uk-UA"/>
        </w:rPr>
        <w:t xml:space="preserve">внутрішньо переміщених осіб </w:t>
      </w:r>
      <w:r>
        <w:rPr>
          <w:sz w:val="28"/>
          <w:szCs w:val="28"/>
          <w:lang w:val="uk-UA"/>
        </w:rPr>
        <w:t xml:space="preserve">на 2025–2026 роки, заходи якої спрямовані на забезпечення </w:t>
      </w:r>
      <w:r>
        <w:rPr>
          <w:sz w:val="28"/>
          <w:szCs w:val="28"/>
          <w:lang w:val="uk-UA"/>
        </w:rPr>
        <w:t xml:space="preserve">цієї категорії </w:t>
      </w:r>
      <w:r>
        <w:rPr>
          <w:sz w:val="28"/>
          <w:szCs w:val="28"/>
          <w:lang w:val="uk-UA"/>
        </w:rPr>
        <w:t xml:space="preserve">житлом, соціальною, медичною підтримкою, доступом до освіти та сприянням працевлаштуванню.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кінець 2025 року на обліку перебувал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624 пенсіонери з числа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Соціальну допомогу на проживання ВПО (з 01.07.2025 адмініструється Пенсійним фондом) у ІІ півріччі 2025 року профінансовано на 200,3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Крім того, у 2025 році профінансовано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компенсацію за програмою «єПрихисток»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млн гр</w:t>
      </w:r>
      <w:r>
        <w:rPr>
          <w:sz w:val="28"/>
          <w:szCs w:val="28"/>
          <w:lang w:val="uk-UA"/>
        </w:rPr>
        <w:t xml:space="preserve">н, </w:t>
      </w:r>
      <w:r>
        <w:rPr>
          <w:sz w:val="28"/>
          <w:szCs w:val="28"/>
          <w:lang w:val="uk-UA"/>
        </w:rPr>
        <w:t xml:space="preserve">виплати за програмою «єОселя»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2,3 млн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Соціальний захист дітей та багатодітних родин</w:t>
      </w:r>
      <w:r>
        <w:rPr>
          <w:b/>
          <w:sz w:val="28"/>
          <w:szCs w:val="28"/>
          <w:lang w:val="uk-UA"/>
        </w:rPr>
      </w:r>
    </w:p>
    <w:p>
      <w:pPr>
        <w:pBdr/>
        <w:shd w:val="clear" w:color="auto" w:fill="ffffff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в області налічу</w:t>
      </w:r>
      <w:r>
        <w:rPr>
          <w:sz w:val="28"/>
          <w:szCs w:val="28"/>
          <w:lang w:val="uk-UA"/>
        </w:rPr>
        <w:t xml:space="preserve">вало</w:t>
      </w:r>
      <w:r>
        <w:rPr>
          <w:sz w:val="28"/>
          <w:szCs w:val="28"/>
          <w:lang w:val="uk-UA"/>
        </w:rPr>
        <w:t xml:space="preserve">ся 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064 багатодітні сім’ї,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яких виховується 23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358 дітей. Порівняно з 2024 роком кількість багатодітних сімей зросла на 2,5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(176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сімей).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належного соціального забезпечення багатодітних сімей та реалізації їх права на пільги 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продовж 2025 року видано 900 посвідчень батьків багатодітної сім’ї та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147 посвідчень дітей з багатодітних сімей.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ільгами з оплати житлово-комунальних послуг скористалися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401 сім’я, пільгами на придбання твердого палива та скрапленого газу – 478 сімей, 5 сімей отримали 50-відсоткову знижку абонентної плати за користування телефоном.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активно розширюється мережа сімей патронатних вихователів. Чернігівщина входить до п’ятірки лідерів за кількістю таких сімей в Україні. Станом на 01.01.2026 функціонували 37 патронатних сімей, 12 </w:t>
      </w:r>
      <w:r>
        <w:rPr>
          <w:sz w:val="28"/>
          <w:szCs w:val="28"/>
          <w:lang w:val="uk-UA"/>
        </w:rPr>
        <w:t xml:space="preserve">було </w:t>
      </w:r>
      <w:r>
        <w:rPr>
          <w:sz w:val="28"/>
          <w:szCs w:val="28"/>
          <w:lang w:val="uk-UA"/>
        </w:rPr>
        <w:t xml:space="preserve">створено протягом 2025 року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У порівнянні з 2024 роком на 42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збільшилася кількість дітей, влаштованих до патронатних родин, та на 58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кількість дітей, які перебували під патронатом.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Станом на кінець 2025 року в області налічувалося 1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802 дитини-сироти та дитини, позбавлені батьківського піклування. Переважна більшість із них вихову</w:t>
      </w:r>
      <w:r>
        <w:rPr>
          <w:sz w:val="28"/>
          <w:szCs w:val="28"/>
          <w:lang w:val="uk-UA" w:eastAsia="uk-UA"/>
        </w:rPr>
        <w:t xml:space="preserve">вал</w:t>
      </w:r>
      <w:r>
        <w:rPr>
          <w:sz w:val="28"/>
          <w:szCs w:val="28"/>
          <w:lang w:val="uk-UA" w:eastAsia="uk-UA"/>
        </w:rPr>
        <w:t xml:space="preserve">и</w:t>
      </w:r>
      <w:r>
        <w:rPr>
          <w:sz w:val="28"/>
          <w:szCs w:val="28"/>
          <w:lang w:val="uk-UA" w:eastAsia="uk-UA"/>
        </w:rPr>
        <w:t xml:space="preserve">ся </w:t>
      </w:r>
      <w:r>
        <w:rPr>
          <w:sz w:val="28"/>
          <w:szCs w:val="28"/>
          <w:lang w:val="uk-UA" w:eastAsia="uk-UA"/>
        </w:rPr>
        <w:t xml:space="preserve">в сімейному середовищі: 1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187 дітей </w:t>
      </w:r>
      <w:r>
        <w:rPr>
          <w:sz w:val="28"/>
          <w:szCs w:val="28"/>
          <w:lang w:val="uk-UA" w:eastAsia="uk-UA"/>
        </w:rPr>
        <w:t xml:space="preserve">–</w:t>
      </w:r>
      <w:r>
        <w:rPr>
          <w:sz w:val="28"/>
          <w:szCs w:val="28"/>
          <w:lang w:val="uk-UA" w:eastAsia="uk-UA"/>
        </w:rPr>
        <w:t xml:space="preserve"> у сім’ях опікунів і </w:t>
      </w:r>
      <w:r>
        <w:rPr>
          <w:sz w:val="28"/>
          <w:szCs w:val="28"/>
          <w:lang w:val="uk-UA" w:eastAsia="uk-UA"/>
        </w:rPr>
        <w:t xml:space="preserve">піклувальників, 292 дитини </w:t>
      </w:r>
      <w:r>
        <w:rPr>
          <w:sz w:val="28"/>
          <w:szCs w:val="28"/>
          <w:lang w:val="uk-UA" w:eastAsia="uk-UA"/>
        </w:rPr>
        <w:t xml:space="preserve">–</w:t>
      </w:r>
      <w:r>
        <w:rPr>
          <w:sz w:val="28"/>
          <w:szCs w:val="28"/>
          <w:lang w:val="uk-UA" w:eastAsia="uk-UA"/>
        </w:rPr>
        <w:t xml:space="preserve"> у 171 прийомній сім’ї</w:t>
      </w:r>
      <w:r>
        <w:rPr>
          <w:sz w:val="28"/>
          <w:szCs w:val="28"/>
          <w:lang w:val="uk-UA" w:eastAsia="uk-UA"/>
        </w:rPr>
        <w:t xml:space="preserve"> (ПС),</w:t>
      </w:r>
      <w:r>
        <w:rPr>
          <w:sz w:val="28"/>
          <w:szCs w:val="28"/>
          <w:lang w:val="uk-UA" w:eastAsia="uk-UA"/>
        </w:rPr>
        <w:t xml:space="preserve"> 202 дитини-вихованці</w:t>
      </w:r>
      <w:r>
        <w:rPr>
          <w:sz w:val="28"/>
          <w:szCs w:val="28"/>
          <w:lang w:val="uk-UA" w:eastAsia="uk-UA"/>
        </w:rPr>
        <w:t xml:space="preserve"> –</w:t>
      </w:r>
      <w:r>
        <w:rPr>
          <w:sz w:val="28"/>
          <w:szCs w:val="28"/>
          <w:lang w:val="uk-UA" w:eastAsia="uk-UA"/>
        </w:rPr>
        <w:t xml:space="preserve"> у 27 дитячих будинках сімейного типу (ДБСТ).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За підсумками 2025 року до сімейних форм виховання влаштовано 338 дітей, зокрема 48 усиновлено, 203 передано під опіку та піклування, 73 – до ПС і ДБСТ, 14 повернуто до біологічних сімей. </w:t>
      </w:r>
      <w:r>
        <w:rPr>
          <w:sz w:val="28"/>
          <w:szCs w:val="28"/>
          <w:lang w:val="uk-UA"/>
        </w:rPr>
        <w:t xml:space="preserve">Загальна кількість дітей, влаштованих до сімейних форм виховання, на 25,2 % перевищує кількість дітей, які за цей період залишилися без батьківського піклування (270 осіб).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Крім того, повернуто в Україну та влаштовано в родини 7 дітей-си</w:t>
      </w:r>
      <w:r>
        <w:rPr>
          <w:sz w:val="28"/>
          <w:szCs w:val="28"/>
          <w:lang w:val="uk-UA" w:eastAsia="uk-UA"/>
        </w:rPr>
        <w:t xml:space="preserve">ріт і дітей, позбавлених батьківського піклування, із числа вихованців </w:t>
      </w:r>
      <w:r>
        <w:rPr>
          <w:sz w:val="28"/>
          <w:szCs w:val="28"/>
          <w:lang w:val="uk-UA" w:eastAsia="uk-UA"/>
        </w:rPr>
        <w:t xml:space="preserve">комунального закладу </w:t>
      </w:r>
      <w:r>
        <w:rPr>
          <w:sz w:val="28"/>
          <w:szCs w:val="28"/>
          <w:lang w:val="uk-UA" w:eastAsia="uk-UA"/>
        </w:rPr>
        <w:t xml:space="preserve">«Городнянський ліцей» та </w:t>
      </w:r>
      <w:r>
        <w:rPr>
          <w:sz w:val="28"/>
          <w:szCs w:val="28"/>
          <w:lang w:val="uk-UA" w:eastAsia="uk-UA"/>
        </w:rPr>
        <w:t xml:space="preserve">комунального закладу </w:t>
      </w:r>
      <w:r>
        <w:rPr>
          <w:sz w:val="28"/>
          <w:szCs w:val="28"/>
          <w:lang w:val="uk-UA" w:eastAsia="uk-UA"/>
        </w:rPr>
        <w:t xml:space="preserve">«Старобасанська гімназія» Чернігівської обласної ради, які у 2022 році були евакуйовані до Республіки Польща.</w:t>
      </w:r>
      <w:r>
        <w:rPr>
          <w:sz w:val="28"/>
          <w:szCs w:val="28"/>
          <w:lang w:val="uk-UA" w:eastAsia="uk-UA"/>
        </w:rPr>
      </w:r>
    </w:p>
    <w:p>
      <w:pPr>
        <w:pBdr/>
        <w:shd w:val="clear" w:color="auto" w:fill="ffffff"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Завдяки вжитим заходам упродовж року частка дітей-сиріт і дітей, позбавлених батьківського піклування, охоплених сімейними формами виховання, зросла на 0,7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 </w:t>
      </w:r>
      <w:r>
        <w:rPr>
          <w:sz w:val="28"/>
          <w:szCs w:val="28"/>
          <w:lang w:val="uk-UA" w:eastAsia="uk-UA"/>
        </w:rPr>
        <w:t xml:space="preserve">і</w:t>
      </w:r>
      <w:r>
        <w:rPr>
          <w:sz w:val="28"/>
          <w:szCs w:val="28"/>
          <w:lang w:val="uk-UA" w:eastAsia="uk-UA"/>
        </w:rPr>
        <w:t xml:space="preserve"> станом на 01.01.202</w:t>
      </w:r>
      <w:r>
        <w:rPr>
          <w:sz w:val="28"/>
          <w:szCs w:val="28"/>
          <w:lang w:val="uk-UA" w:eastAsia="uk-UA"/>
        </w:rPr>
        <w:t xml:space="preserve">6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склала</w:t>
      </w:r>
      <w:r>
        <w:rPr>
          <w:sz w:val="28"/>
          <w:szCs w:val="28"/>
          <w:lang w:val="uk-UA" w:eastAsia="uk-UA"/>
        </w:rPr>
        <w:t xml:space="preserve"> 93,3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</w:t>
      </w:r>
      <w:r>
        <w:rPr>
          <w:sz w:val="28"/>
          <w:szCs w:val="28"/>
          <w:lang w:val="uk-UA" w:eastAsia="uk-UA"/>
        </w:rPr>
        <w:t xml:space="preserve">, з</w:t>
      </w:r>
      <w:r>
        <w:rPr>
          <w:sz w:val="28"/>
          <w:szCs w:val="28"/>
          <w:lang w:val="uk-UA" w:eastAsia="uk-UA"/>
        </w:rPr>
        <w:t xml:space="preserve">окрема, на 3,2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 збільшилася кількість прийомних дітей у прийомних сім’ях.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Налагоджено співпрацю з міжнародними та громадськими організаціями. Підписано меморандуми щодо створення Центру захисту дитини (модель Барнахус) та забезпечення прав дітей, які перебувають у складних життєвих обставинах.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партнерстві з міжнародними фондами надавалася комплексна підтримка сім’ям з дітьми. За сприяння Швеції, Швейцарії, Великої Британії та Латвії відновив роботу Чернігівський центр соціально-психологічної </w:t>
      </w:r>
      <w:r>
        <w:rPr>
          <w:sz w:val="28"/>
          <w:szCs w:val="28"/>
          <w:lang w:val="uk-UA"/>
        </w:rPr>
        <w:t xml:space="preserve">реабілітації дітей.</w:t>
      </w:r>
      <w:r>
        <w:rPr>
          <w:sz w:val="28"/>
          <w:szCs w:val="28"/>
          <w:lang w:val="uk-UA"/>
        </w:rPr>
      </w:r>
    </w:p>
    <w:p>
      <w:pPr>
        <w:pBdr/>
        <w:spacing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Попередження насильства в сім’ї</w:t>
      </w:r>
      <w:r>
        <w:rPr>
          <w:b/>
          <w:sz w:val="28"/>
          <w:szCs w:val="28"/>
          <w:lang w:val="uk-UA"/>
        </w:rPr>
      </w:r>
    </w:p>
    <w:p>
      <w:pPr>
        <w:pStyle w:val="795"/>
        <w:pBdr/>
        <w:shd w:val="clear" w:color="auto" w:fill="ffffff"/>
        <w:spacing/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У звітному періоді </w:t>
      </w:r>
      <w:r>
        <w:rPr>
          <w:b w:val="0"/>
          <w:bCs w:val="0"/>
          <w:szCs w:val="28"/>
        </w:rPr>
        <w:t xml:space="preserve">вживалися заходи щодо розширення мережі сервісів підтримки осіб, які постраждали від домашнього насильства та/або насильства за ознакою статі.</w:t>
      </w:r>
      <w:r>
        <w:rPr>
          <w:b w:val="0"/>
          <w:bCs w:val="0"/>
          <w:szCs w:val="28"/>
        </w:rPr>
        <w:t xml:space="preserve"> В</w:t>
      </w:r>
      <w:r>
        <w:rPr>
          <w:b w:val="0"/>
          <w:bCs w:val="0"/>
          <w:szCs w:val="28"/>
        </w:rPr>
        <w:t xml:space="preserve"> громадах області функціонували 54 спеціалізовані служби підтримки осіб, які постраждали від домашнього насильства та/або насильства за ознакою статі, зокрема: 3 денні центри соціально-психологічної допомоги, 3</w:t>
      </w:r>
      <w:r>
        <w:rPr>
          <w:b w:val="0"/>
          <w:bCs w:val="0"/>
          <w:szCs w:val="28"/>
        </w:rPr>
        <w:t xml:space="preserve"> </w:t>
      </w:r>
      <w:r>
        <w:rPr>
          <w:b w:val="0"/>
          <w:bCs w:val="0"/>
          <w:szCs w:val="28"/>
        </w:rPr>
        <w:t xml:space="preserve">центри з кризовими кімнатами, 43 мобільні бригади соціально-психологічної допомоги та 5 спеціалізованих служб первинного соціально-психологічного консультування.</w:t>
      </w:r>
      <w:r>
        <w:rPr>
          <w:b w:val="0"/>
          <w:bCs w:val="0"/>
          <w:szCs w:val="28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в кризових</w:t>
      </w:r>
      <w:r>
        <w:rPr>
          <w:sz w:val="28"/>
          <w:szCs w:val="28"/>
          <w:lang w:val="uk-UA"/>
        </w:rPr>
        <w:t xml:space="preserve"> кімнатах перебували 79 постраждалих осіб (40 жінок, </w:t>
      </w:r>
      <w:r>
        <w:rPr>
          <w:sz w:val="28"/>
          <w:szCs w:val="28"/>
          <w:lang w:val="uk-UA"/>
        </w:rPr>
        <w:t xml:space="preserve">один </w:t>
      </w:r>
      <w:r>
        <w:rPr>
          <w:sz w:val="28"/>
          <w:szCs w:val="28"/>
          <w:lang w:val="uk-UA"/>
        </w:rPr>
        <w:t xml:space="preserve">чоловік і 38 дітей). Послуги денних центрів отримали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196 осіб, мобільними бригадами здійснено 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898 виїздів, під час яких допомогу надано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229 особам. Загалом послугами спеціалізованих служб підтримки скористалися 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912 осіб.</w:t>
      </w:r>
      <w:r>
        <w:rPr>
          <w:sz w:val="28"/>
          <w:szCs w:val="28"/>
          <w:lang w:val="uk-UA"/>
        </w:rPr>
      </w:r>
    </w:p>
    <w:p>
      <w:pPr>
        <w:pBdr/>
        <w:spacing w:after="120" w:before="240"/>
        <w:ind w:firstLine="567"/>
        <w:jc w:val="both"/>
        <w:rPr>
          <w:b/>
          <w:sz w:val="28"/>
          <w:szCs w:val="28"/>
          <w:lang w:val="uk-UA"/>
        </w:rPr>
      </w:pPr>
      <w:r/>
      <w:bookmarkStart w:id="7" w:name="_Hlk221546773"/>
      <w:r>
        <w:rPr>
          <w:b/>
          <w:sz w:val="28"/>
          <w:szCs w:val="28"/>
          <w:lang w:val="en-US"/>
        </w:rPr>
        <w:t xml:space="preserve">I</w:t>
      </w:r>
      <w:r>
        <w:rPr>
          <w:b/>
          <w:sz w:val="28"/>
          <w:szCs w:val="28"/>
          <w:lang w:val="uk-UA"/>
        </w:rPr>
        <w:t xml:space="preserve">Х</w:t>
      </w:r>
      <w:r>
        <w:rPr>
          <w:b/>
          <w:sz w:val="28"/>
          <w:szCs w:val="28"/>
          <w:lang w:val="uk-UA"/>
        </w:rPr>
        <w:t xml:space="preserve">. </w:t>
      </w:r>
      <w:bookmarkEnd w:id="7"/>
      <w:r>
        <w:rPr>
          <w:b/>
          <w:sz w:val="28"/>
          <w:szCs w:val="28"/>
          <w:lang w:val="uk-UA"/>
        </w:rPr>
        <w:t xml:space="preserve">ОСВІТА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Попри умови повномасштабної війни в області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 w:eastAsia="uk-UA"/>
        </w:rPr>
        <w:t xml:space="preserve">завдяки скоординованим діям </w:t>
      </w:r>
      <w:r>
        <w:rPr>
          <w:sz w:val="28"/>
          <w:szCs w:val="28"/>
          <w:lang w:val="uk-UA" w:eastAsia="uk-UA"/>
        </w:rPr>
        <w:t xml:space="preserve">державних, місцевих органів, міжнародних партнерів створюються необхідні умови для надання якісних освітніх послуг закладами освіти.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Організацію освітнього процесу в закладах дошкільної освіти здійснено з використанням різних форм здобуття освіти </w:t>
      </w:r>
      <w:r>
        <w:rPr>
          <w:sz w:val="28"/>
          <w:szCs w:val="28"/>
          <w:lang w:val="uk-UA" w:eastAsia="uk-UA"/>
        </w:rPr>
        <w:t xml:space="preserve">(</w:t>
      </w:r>
      <w:r>
        <w:rPr>
          <w:sz w:val="28"/>
          <w:szCs w:val="28"/>
          <w:lang w:val="uk-UA" w:eastAsia="uk-UA"/>
        </w:rPr>
        <w:t xml:space="preserve">очної, змішаної та дистанційної</w:t>
      </w:r>
      <w:r>
        <w:rPr>
          <w:sz w:val="28"/>
          <w:szCs w:val="28"/>
          <w:lang w:val="uk-UA" w:eastAsia="uk-UA"/>
        </w:rPr>
        <w:t xml:space="preserve">)</w:t>
      </w:r>
      <w:r>
        <w:rPr>
          <w:sz w:val="28"/>
          <w:szCs w:val="28"/>
          <w:lang w:val="uk-UA" w:eastAsia="uk-UA"/>
        </w:rPr>
        <w:t xml:space="preserve"> з </w:t>
      </w:r>
      <w:r>
        <w:rPr>
          <w:sz w:val="28"/>
          <w:szCs w:val="28"/>
          <w:lang w:val="uk-UA" w:eastAsia="uk-UA"/>
        </w:rPr>
        <w:t xml:space="preserve">урахуванням потреб дітей, запитів батьків і безпекових та організаційних умов функціонування закладів.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Станом на кінець 2025 року мережа закладів дошкільної освіти (далі – ЗДО) складалась з 372 одиниць (16 112 дітей). Освітні послуги надавали 316 ЗДО (85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%), якими охоплено 15 986 дітей (99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%).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порівнянні з 2024</w:t>
      </w:r>
      <w:r>
        <w:rPr>
          <w:sz w:val="28"/>
          <w:szCs w:val="28"/>
          <w:lang w:val="uk-UA" w:eastAsia="uk-UA"/>
        </w:rPr>
        <w:t xml:space="preserve"> роком на 14 % зросла кількість ЗДО, які працюють в очному форматі. Водночас 56 (15 %) ЗДО перебували на простої або призупинили свою діяльність.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 році 55,7 тис. дітей (68 % від загальної кіл</w:t>
      </w:r>
      <w:r>
        <w:rPr>
          <w:sz w:val="28"/>
          <w:szCs w:val="28"/>
          <w:lang w:val="uk-UA" w:eastAsia="uk-UA"/>
        </w:rPr>
        <w:t xml:space="preserve">ькості учнів) отримували освітні послуги за очною формою у 238 школах (74 %) області, що на 2 тис. дітей більше, ніж у минулому 2024 році. Крім того, ще 18,4 тис. учнів (22 %) здобували освіту за змішаним форматом, поєднуючи очний та дистанційний формати. </w:t>
      </w:r>
      <w:r>
        <w:rPr>
          <w:sz w:val="28"/>
          <w:szCs w:val="28"/>
          <w:lang w:val="uk-UA" w:eastAsia="uk-UA"/>
        </w:rPr>
        <w:t xml:space="preserve">У </w:t>
      </w:r>
      <w:r>
        <w:rPr>
          <w:sz w:val="28"/>
          <w:szCs w:val="28"/>
          <w:lang w:val="uk-UA" w:eastAsia="uk-UA"/>
        </w:rPr>
        <w:t xml:space="preserve">школах, розташованих у 20-кілометровій зоні від державного кордону з російською федерацією, та закладах освіти, в яких виконується облаштування укриттів або будівництво, освітній процес здійснювався в дистанційному форматі для 8,1 тис. учнів (10 %).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Збережено ме</w:t>
      </w:r>
      <w:r>
        <w:rPr>
          <w:sz w:val="28"/>
          <w:szCs w:val="28"/>
          <w:lang w:val="uk-UA" w:eastAsia="uk-UA"/>
        </w:rPr>
        <w:t xml:space="preserve">режу закладів позашкільної освіти, яка складається з 53 одиниць (22,1 тис. вихованців). Діти, окрім набуття класичних знань, відповідно до здібностей та інтересів у позаурочний час залучались до позашкільної освіти. За очною формою організовано навчання 13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464 вихованців (61 %) у 39 ЗПО (74 %); у змішаному форматі – 8 296 вихованців (37 %) у 12 ЗПО (22 %); у дистанційній формі – 385 вихованців (2 %) у двох ЗПО (4 %).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Необхідними умовами для організації навчання є створення безпечного освітнього сучасного середовища.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 році 714 (91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%) із 785 закладів освіти області ма</w:t>
      </w:r>
      <w:r>
        <w:rPr>
          <w:sz w:val="28"/>
          <w:szCs w:val="28"/>
          <w:lang w:val="uk-UA" w:eastAsia="uk-UA"/>
        </w:rPr>
        <w:t xml:space="preserve">ли</w:t>
      </w:r>
      <w:r>
        <w:rPr>
          <w:sz w:val="28"/>
          <w:szCs w:val="28"/>
          <w:lang w:val="uk-UA" w:eastAsia="uk-UA"/>
        </w:rPr>
        <w:t xml:space="preserve"> укриття, з них у 713 закладах освіти укриття рекомендовані до використання за призначенням. Відсутні укриття в 71 закладі освіти. Протягом року за кошти державного, місцевих бюджетів, благодійних організацій побудовано 13 укриттів, в одному </w:t>
      </w:r>
      <w:r>
        <w:rPr>
          <w:sz w:val="28"/>
          <w:szCs w:val="28"/>
          <w:lang w:val="uk-UA" w:eastAsia="uk-UA"/>
        </w:rPr>
        <w:t xml:space="preserve">укритті </w:t>
      </w:r>
      <w:r>
        <w:rPr>
          <w:sz w:val="28"/>
          <w:szCs w:val="28"/>
          <w:lang w:val="uk-UA" w:eastAsia="uk-UA"/>
        </w:rPr>
        <w:t xml:space="preserve">зроблено капітальний ремонт, у 33 закладах освіти проведено поточні ремонти укриттів. 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Для забезпечення охорони закладів освіти області 759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будівель обладнано тривожною сигналізацією з виведенням сигналу на пульти охорони («тривожна кнопка»), 38 закладів освіти обладнано охоронною сигналізацією, у 190 будівлях встановлено системи зовнішнього і внутрішнього відеоспостереження, 665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будівель облаштовано необхідними огорожами, для 173 будівель організовано охорону із залученням суб’єктів охоронної діяльності.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Станом на 01.01.2026 у закладах загальної середньої освіти пр</w:t>
      </w:r>
      <w:r>
        <w:rPr>
          <w:sz w:val="28"/>
          <w:szCs w:val="28"/>
          <w:lang w:val="uk-UA" w:eastAsia="uk-UA"/>
        </w:rPr>
        <w:t xml:space="preserve">ацювали</w:t>
      </w:r>
      <w:r>
        <w:rPr>
          <w:sz w:val="28"/>
          <w:szCs w:val="28"/>
          <w:lang w:val="uk-UA" w:eastAsia="uk-UA"/>
        </w:rPr>
        <w:t xml:space="preserve"> 59</w:t>
      </w:r>
      <w:r>
        <w:rPr>
          <w:sz w:val="28"/>
          <w:szCs w:val="28"/>
          <w:lang w:val="uk-UA" w:eastAsia="uk-UA"/>
        </w:rPr>
        <w:t xml:space="preserve"> </w:t>
      </w:r>
      <w:r>
        <w:rPr>
          <w:sz w:val="28"/>
          <w:szCs w:val="28"/>
          <w:lang w:val="uk-UA" w:eastAsia="uk-UA"/>
        </w:rPr>
        <w:t xml:space="preserve">поліцейських служби освітньої безпеки</w:t>
      </w:r>
      <w:r>
        <w:rPr>
          <w:sz w:val="28"/>
          <w:szCs w:val="28"/>
          <w:lang w:val="uk-UA" w:eastAsia="uk-UA"/>
        </w:rPr>
        <w:t xml:space="preserve">, ф</w:t>
      </w:r>
      <w:r>
        <w:rPr>
          <w:sz w:val="28"/>
          <w:szCs w:val="28"/>
          <w:lang w:val="uk-UA" w:eastAsia="uk-UA"/>
        </w:rPr>
        <w:t xml:space="preserve">ункціону</w:t>
      </w:r>
      <w:r>
        <w:rPr>
          <w:sz w:val="28"/>
          <w:szCs w:val="28"/>
          <w:lang w:val="uk-UA" w:eastAsia="uk-UA"/>
        </w:rPr>
        <w:t xml:space="preserve">вали</w:t>
      </w:r>
      <w:r>
        <w:rPr>
          <w:sz w:val="28"/>
          <w:szCs w:val="28"/>
          <w:lang w:val="uk-UA" w:eastAsia="uk-UA"/>
        </w:rPr>
        <w:t xml:space="preserve"> 233 класи безпеки. 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2025/2026 навчальному році забезпечено підвезення на навчання понад 11,3 тис. учнів сільської місцевості. Обласний автопарк налічує 397 шкільних автобусів. У 2025 році отримано 8 автобусів</w:t>
      </w:r>
      <w:r>
        <w:rPr>
          <w:sz w:val="28"/>
          <w:szCs w:val="28"/>
          <w:lang w:val="uk-UA" w:eastAsia="uk-UA"/>
        </w:rPr>
        <w:t xml:space="preserve"> в якості гуманітарної допомоги від Французької гуманітарної організації ACTED. За кошти державної субвенції на умовах співфінансування з місцевими бюджетами закуплено 34 шкільні автобуси, зокрема 12 спеціальних, обладнаних місцями для осіб з інвалідністю </w:t>
      </w:r>
      <w:r>
        <w:rPr>
          <w:sz w:val="28"/>
          <w:szCs w:val="28"/>
          <w:lang w:val="uk-UA" w:eastAsia="uk-UA"/>
        </w:rPr>
        <w:t xml:space="preserve">та маломобільних груп населення, на загальну суму 123,4 млн гр</w:t>
      </w:r>
      <w:r>
        <w:rPr>
          <w:sz w:val="28"/>
          <w:szCs w:val="28"/>
          <w:lang w:val="uk-UA" w:eastAsia="uk-UA"/>
        </w:rPr>
        <w:t xml:space="preserve">и</w:t>
      </w:r>
      <w:r>
        <w:rPr>
          <w:sz w:val="28"/>
          <w:szCs w:val="28"/>
          <w:lang w:val="uk-UA" w:eastAsia="uk-UA"/>
        </w:rPr>
        <w:t xml:space="preserve">вень. Залишається потреба у придбанні ще 30 шкільних автобусів. 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Покращено забезпечення комп’ютерною технікою закладів освіти об</w:t>
      </w:r>
      <w:r>
        <w:rPr>
          <w:sz w:val="28"/>
          <w:szCs w:val="28"/>
          <w:lang w:val="uk-UA" w:eastAsia="uk-UA"/>
        </w:rPr>
        <w:t xml:space="preserve">ласті, зокрема отримано 628 ноутбуків від благодійної організації «Фундація Олени Зеленської»; 1 256 процесорів, 100 ноутбуків, 466 моніторів, 14 інших девайсів від міжнародної благодійної організації Латвійської Республіки; 427 Wi-Fi роутерів від донорів.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Важливий крок до зміцнення економіки та відбудови інфраструктури області – трансформація системи професійної освіти у якісно новий освітній простір.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2025 році на базі закладів професійної освіти відкрито 6 сучасних навчально-практичних центрів, зокрема металообробних, меблевих, аграрних, лісогосподарських, зварювальних та автотранспортних технологій. </w:t>
      </w:r>
      <w:r>
        <w:rPr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4 проєкти реалізовано за рахунок державної субвенції (20,9 млн грн) на умовах співфінансування та два – за підтримки благодійної організації «Фонд Фінська Церковна Допомога (FCA)» (23,1 млн грн).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Двом закладам професійної освіти в межах Грантової угоди між Урядом України та Японським агентством міжнародного співробітництва (JICA</w:t>
      </w:r>
      <w:r>
        <w:rPr>
          <w:sz w:val="28"/>
          <w:szCs w:val="28"/>
          <w:lang w:val="uk-UA" w:eastAsia="uk-UA"/>
        </w:rPr>
        <w:t xml:space="preserve">) передано сучасну сільськогосподарську техніку й обладнання на суму 19,4 млн грн, що підсилило базу для надання якісних послуг у сфері аграрної освіти. За сприяння Швейцарсько-українського проєкту DECIDE «Децентралізація для розвитку демократичної освіти»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(11,7 млн грн) для надання допомоги різним віковим групам населення у виборі професійного майбутнього у двох закладах створено профорієнтаційні хаби: кулінарного та будівельного спрямування.</w:t>
      </w:r>
      <w:r>
        <w:rPr>
          <w:sz w:val="28"/>
          <w:szCs w:val="28"/>
          <w:lang w:val="uk-UA" w:eastAsia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звітному періоді завершено процедуру передачі з державної у комунальну власність трьох закладів професійної освіти. На кінець 2025 року 6 із 13 закладів передано в комунальну власність, решта – у процесі передачі. </w:t>
      </w:r>
      <w:r>
        <w:rPr>
          <w:sz w:val="28"/>
          <w:szCs w:val="28"/>
          <w:lang w:val="uk-UA" w:eastAsia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Від початку повномасштабного вторгнення пошкоджено 183 заклади освіти. Повністю відновлено 92, у 19 ведуться будівельні роботи,</w:t>
      </w:r>
      <w:r>
        <w:rPr>
          <w:sz w:val="20"/>
          <w:szCs w:val="20"/>
          <w:lang w:val="uk-UA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62 потребують відновлення.</w:t>
      </w:r>
      <w:r>
        <w:rPr>
          <w:sz w:val="28"/>
          <w:szCs w:val="28"/>
          <w:lang w:val="uk-UA" w:eastAsia="uk-UA"/>
        </w:rPr>
      </w:r>
    </w:p>
    <w:p>
      <w:pPr>
        <w:pBdr/>
        <w:spacing w:after="120"/>
        <w:ind w:firstLine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Х</w:t>
      </w:r>
      <w:r>
        <w:rPr>
          <w:b/>
          <w:sz w:val="28"/>
          <w:szCs w:val="28"/>
          <w:lang w:val="uk-UA"/>
        </w:rPr>
        <w:t xml:space="preserve">. ОХОРОНА ЗДОРОВ</w:t>
      </w:r>
      <w:r>
        <w:rPr>
          <w:b/>
          <w:sz w:val="28"/>
          <w:szCs w:val="28"/>
          <w:lang w:val="uk-UA"/>
        </w:rPr>
        <w:t xml:space="preserve">ʼ</w:t>
      </w:r>
      <w:r>
        <w:rPr>
          <w:b/>
          <w:sz w:val="28"/>
          <w:szCs w:val="28"/>
          <w:lang w:val="uk-UA"/>
        </w:rPr>
        <w:t xml:space="preserve">Я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сформована спроможна мережа закладів охорони здоров’я. З урахуванням дитячого санаторію та 4 медичних навчальних закладів функціонують 8</w:t>
      </w:r>
      <w:r>
        <w:rPr>
          <w:sz w:val="28"/>
          <w:szCs w:val="28"/>
          <w:lang w:val="en-US"/>
        </w:rPr>
        <w:t xml:space="preserve">7</w:t>
      </w:r>
      <w:r>
        <w:rPr>
          <w:sz w:val="28"/>
          <w:szCs w:val="28"/>
          <w:lang w:val="uk-UA"/>
        </w:rPr>
        <w:t xml:space="preserve"> установ різного типу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Безпосередньо медична допомога мешканцям області надається у 82 медичних закладах, зокрема </w:t>
      </w:r>
      <w:r>
        <w:rPr>
          <w:sz w:val="28"/>
          <w:szCs w:val="28"/>
          <w:lang w:val="uk-UA"/>
        </w:rPr>
        <w:t xml:space="preserve">11 обласних, 29 лікарнях різного типу (центральних, міських, районних, хоспіс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), одному пологовому будинку, трьох міських стоматологічних поліклініках, одній «Сімейній п</w:t>
      </w:r>
      <w:r>
        <w:rPr>
          <w:sz w:val="28"/>
          <w:szCs w:val="28"/>
          <w:lang w:val="uk-UA"/>
        </w:rPr>
        <w:t xml:space="preserve">оліклініці», 36 центрах первинної медико-санітарної допомоги (ПМСД), одній лікарській амбулаторії сімейного типу. До складу ПМСД входять 131 амбулаторія (з них 41 міська та 90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сільські) і 225 фельдшерських та фельдшерсько-акушерських пунктів.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Екстрену медичну допомогу забезпечує Чернігівський обласний центр </w:t>
      </w:r>
      <w:bookmarkStart w:id="8" w:name="_Hlk221623190"/>
      <w:r>
        <w:rPr>
          <w:sz w:val="28"/>
          <w:szCs w:val="28"/>
          <w:lang w:val="uk-UA"/>
        </w:rPr>
        <w:t xml:space="preserve">екстреної медичної допомоги </w:t>
      </w:r>
      <w:bookmarkEnd w:id="8"/>
      <w:r>
        <w:rPr>
          <w:sz w:val="28"/>
          <w:szCs w:val="28"/>
          <w:lang w:val="uk-UA"/>
        </w:rPr>
        <w:t xml:space="preserve">та медицини катастроф, у складі якого 4 станції, 21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підстанція та 21 пункт постійного базування бригад екстреної медичної </w:t>
      </w:r>
      <w:r>
        <w:rPr>
          <w:sz w:val="28"/>
          <w:szCs w:val="28"/>
          <w:lang w:val="uk-UA"/>
        </w:rPr>
        <w:t xml:space="preserve">допомоги. Автопарк налічує 139 спеціалізованих автомобілів, сформовано резерв із 40 санітарних авто. У 2025 році виконано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147,8 тис. виїздів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(202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рік – </w:t>
      </w:r>
      <w:r>
        <w:rPr>
          <w:sz w:val="28"/>
          <w:szCs w:val="28"/>
          <w:lang w:val="uk-UA"/>
        </w:rPr>
        <w:t xml:space="preserve">151,3</w:t>
      </w:r>
      <w:r>
        <w:rPr>
          <w:sz w:val="28"/>
          <w:szCs w:val="28"/>
          <w:lang w:val="uk-UA"/>
        </w:rPr>
        <w:t xml:space="preserve">)</w:t>
      </w:r>
      <w:r>
        <w:rPr>
          <w:b/>
          <w:bCs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76 надавачів медичних послуг уклали з Національною службою здоров’я України 590 договорів. Затверджено маршрути госпіталізації пацієнтів відповідно до пакетів медичних послуг. Обсяг фінансування</w:t>
      </w:r>
      <w:r>
        <w:rPr>
          <w:sz w:val="28"/>
          <w:szCs w:val="28"/>
          <w:lang w:val="uk-UA"/>
        </w:rPr>
        <w:t xml:space="preserve"> за надані медичні послуги склав близько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4,3 млрд гр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ивень</w:t>
      </w:r>
      <w:r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забезпечення мешканців області цілодобовою медичною допомогою розгорнуто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6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 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655 стаціонарних ліжок</w:t>
      </w:r>
      <w:r>
        <w:rPr>
          <w:sz w:val="28"/>
          <w:szCs w:val="28"/>
          <w:lang w:val="uk-UA"/>
        </w:rPr>
        <w:t xml:space="preserve"> (70,0 на 10 тис. населення), у тому числі 221 ліжко інтенсивної терапії. У 2025 році стаціонарно проліковано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215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 776 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пацієнтів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 </w:t>
      </w:r>
      <w:bookmarkStart w:id="9" w:name="_Hlk221624268"/>
      <w:r>
        <w:rPr>
          <w:sz w:val="28"/>
          <w:szCs w:val="28"/>
          <w:lang w:val="uk-UA"/>
        </w:rPr>
        <w:t xml:space="preserve">(2024 рік – 222 986)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bookmarkEnd w:id="9"/>
      <w:r>
        <w:rPr>
          <w:sz w:val="28"/>
          <w:szCs w:val="28"/>
          <w:lang w:val="uk-UA"/>
        </w:rPr>
        <w:t xml:space="preserve">виконано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66 463</w:t>
      </w:r>
      <w:r>
        <w:rPr>
          <w:rStyle w:val="788"/>
          <w:sz w:val="28"/>
          <w:szCs w:val="28"/>
          <w:lang w:val="uk-UA"/>
        </w:rPr>
        <w:t xml:space="preserve">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оперативн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і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 втручан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 xml:space="preserve">(2024 рік – </w:t>
      </w:r>
      <w:r>
        <w:rPr>
          <w:sz w:val="28"/>
          <w:szCs w:val="28"/>
          <w:lang w:val="uk-UA"/>
        </w:rPr>
        <w:t xml:space="preserve">66 966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, прийнято 3 200 пологів (2024 рік – 3 692)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охорони здоров’я області працюють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2 968 лікарів</w:t>
      </w:r>
      <w:r>
        <w:rPr>
          <w:sz w:val="28"/>
          <w:szCs w:val="28"/>
          <w:lang w:val="uk-UA"/>
        </w:rPr>
        <w:t xml:space="preserve"> та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6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 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969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 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середніх медичних працівників</w:t>
      </w:r>
      <w:r>
        <w:rPr>
          <w:b/>
          <w:bCs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Укомплектованість лікарських посад становить 71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%, дефіцит лікарів – </w:t>
      </w:r>
      <w:r>
        <w:rPr>
          <w:rStyle w:val="788"/>
          <w:b w:val="0"/>
          <w:bCs w:val="0"/>
          <w:sz w:val="28"/>
          <w:szCs w:val="28"/>
          <w:lang w:val="uk-UA"/>
        </w:rPr>
        <w:t xml:space="preserve">1 228 осіб</w:t>
      </w:r>
      <w:r>
        <w:rPr>
          <w:sz w:val="28"/>
          <w:szCs w:val="28"/>
          <w:lang w:val="uk-UA"/>
        </w:rPr>
        <w:t xml:space="preserve">. Станом на початок 2026 року неукомплектованими залиша</w:t>
      </w:r>
      <w:r>
        <w:rPr>
          <w:sz w:val="28"/>
          <w:szCs w:val="28"/>
          <w:lang w:val="uk-UA"/>
        </w:rPr>
        <w:t xml:space="preserve">лися</w:t>
      </w:r>
      <w:r>
        <w:rPr>
          <w:sz w:val="28"/>
          <w:szCs w:val="28"/>
          <w:lang w:val="uk-UA"/>
        </w:rPr>
        <w:t xml:space="preserve"> 25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лікарських амбулаторій та 49</w:t>
      </w:r>
      <w:r>
        <w:rPr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фельдшерських пунктів.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</w:t>
      </w:r>
      <w:r>
        <w:rPr>
          <w:sz w:val="28"/>
          <w:szCs w:val="28"/>
          <w:lang w:val="uk-UA"/>
        </w:rPr>
        <w:t xml:space="preserve">2025 </w:t>
      </w:r>
      <w:r>
        <w:rPr>
          <w:sz w:val="28"/>
          <w:szCs w:val="28"/>
          <w:lang w:val="uk-UA"/>
        </w:rPr>
        <w:t xml:space="preserve">року завдяки зусиллям центральної, місцевої влади та благодійних і міжнародних організацій заклади охорони здоров’я отримали 22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одиниці санітарного транспорту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з них 13 автомобілів для служби екстреної медичної допомоги, у тому числі </w:t>
      </w:r>
      <w:r>
        <w:rPr>
          <w:sz w:val="28"/>
          <w:szCs w:val="28"/>
          <w:lang w:val="uk-UA"/>
        </w:rPr>
        <w:t xml:space="preserve">два</w:t>
      </w:r>
      <w:r>
        <w:rPr>
          <w:sz w:val="28"/>
          <w:szCs w:val="28"/>
          <w:lang w:val="uk-UA"/>
        </w:rPr>
        <w:t xml:space="preserve"> реанімобіл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класу «С»</w:t>
      </w:r>
      <w:r>
        <w:rPr>
          <w:sz w:val="28"/>
          <w:szCs w:val="28"/>
          <w:lang w:val="uk-UA"/>
        </w:rPr>
        <w:t xml:space="preserve"> та сучасне високотехнологічне медичне обладнання (</w:t>
      </w:r>
      <w:r>
        <w:rPr>
          <w:sz w:val="28"/>
          <w:szCs w:val="28"/>
          <w:lang w:val="uk-UA"/>
        </w:rPr>
        <w:t xml:space="preserve">систем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лінійного прискорювача, ангіографічн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систем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, магнітно-резонансни</w:t>
      </w:r>
      <w:r>
        <w:rPr>
          <w:sz w:val="28"/>
          <w:szCs w:val="28"/>
          <w:lang w:val="uk-UA"/>
        </w:rPr>
        <w:t xml:space="preserve">й</w:t>
      </w:r>
      <w:r>
        <w:rPr>
          <w:sz w:val="28"/>
          <w:szCs w:val="28"/>
          <w:lang w:val="uk-UA"/>
        </w:rPr>
        <w:t xml:space="preserve"> томограф, комп’ютерн</w:t>
      </w:r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 xml:space="preserve">томограф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, рентгенівськ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апарат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, апарат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штучної вентиляції легень, апарат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УЗД, мамограф, ендоскопічн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систем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, реабілітаційн</w:t>
      </w:r>
      <w:r>
        <w:rPr>
          <w:sz w:val="28"/>
          <w:szCs w:val="28"/>
          <w:lang w:val="uk-UA"/>
        </w:rPr>
        <w:t xml:space="preserve">е</w:t>
      </w:r>
      <w:r>
        <w:rPr>
          <w:sz w:val="28"/>
          <w:szCs w:val="28"/>
          <w:lang w:val="uk-UA"/>
        </w:rPr>
        <w:t xml:space="preserve"> обладнання, джерела резервного енергоживлення тощо</w:t>
      </w:r>
      <w:r>
        <w:rPr>
          <w:sz w:val="28"/>
          <w:szCs w:val="28"/>
          <w:lang w:val="uk-UA"/>
        </w:rPr>
        <w:t xml:space="preserve">).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закладах охорони здоров’я області облаштован</w:t>
      </w:r>
      <w:r>
        <w:rPr>
          <w:sz w:val="28"/>
          <w:szCs w:val="28"/>
          <w:lang w:val="uk-UA"/>
        </w:rPr>
        <w:t xml:space="preserve">о</w:t>
      </w:r>
      <w:r>
        <w:rPr>
          <w:sz w:val="28"/>
          <w:szCs w:val="28"/>
          <w:lang w:val="uk-UA"/>
        </w:rPr>
        <w:t xml:space="preserve"> та перевірено 75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захисних споруд цивільного захисту</w:t>
      </w:r>
      <w:r>
        <w:rPr>
          <w:sz w:val="28"/>
          <w:szCs w:val="28"/>
          <w:lang w:val="uk-UA"/>
        </w:rPr>
        <w:t xml:space="preserve"> (10 сховищ, 21 протирадіаційне укриття та 44 найпростіш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укриття)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забезпечення ефективного та доступного для всіх громадян медичного обслуговування в умовах подолання наслідків військової агресії, а також п</w:t>
      </w:r>
      <w:r>
        <w:rPr>
          <w:sz w:val="28"/>
          <w:szCs w:val="28"/>
          <w:lang w:val="uk-UA"/>
        </w:rPr>
        <w:t xml:space="preserve">роведення інформаційно-просвітницької роботи серед населення щодо популяризації вакцинації, здорового способу життя, профілактики хронічних (цукровий діабет, гіпертонічна хвороба тощо) та інфекційних захворювань (зокрема ВІЛ, туберкульоз, вірусні гепатити)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Управлінням охорони здоров’я </w:t>
      </w:r>
      <w:r>
        <w:rPr>
          <w:sz w:val="28"/>
          <w:szCs w:val="28"/>
          <w:lang w:val="uk-UA"/>
        </w:rPr>
        <w:t xml:space="preserve">Чернігівської обласної державної </w:t>
      </w:r>
      <w:r>
        <w:rPr>
          <w:sz w:val="28"/>
          <w:szCs w:val="28"/>
          <w:lang w:val="uk-UA"/>
        </w:rPr>
        <w:t xml:space="preserve">адміністрації </w:t>
      </w:r>
      <w:r>
        <w:rPr>
          <w:sz w:val="28"/>
          <w:szCs w:val="28"/>
          <w:lang w:val="uk-UA"/>
        </w:rPr>
        <w:t xml:space="preserve">спільно з ДУ «Чернігівський обласний центр контролю та профілактики хвороб МОЗ України» створено мобільні медичні бригади для виїздів у населені пункти області.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2025 року здійснено 35 виїздів фахівців у віддалені населені пункти Чернігівщини, під час яких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414 осіб, у тому числі 57 дітей, пройшли огляд та отримали консультації.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Крім того, мобільними медичними бригадами за участю лікарів з інших областей (Полтавської, Черкаської, Київської) та фахівців Національного інституту раку проведено 3 спільні виїзди, під час яких оглянуто 462 особи.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24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Пріорит</w:t>
      </w:r>
      <w:r>
        <w:rPr>
          <w:sz w:val="28"/>
          <w:szCs w:val="28"/>
          <w:lang w:val="uk-UA"/>
        </w:rPr>
        <w:t xml:space="preserve">етами галузі залишаються забезпечення доступної та якісної медичної допомоги, розвиток спроможної мережі закладів, зміцнення кадрового потенціалу, готовність системи охорони здоров’я до роботи в умовах війни, оновлення матеріально-технічної бази, підтримка</w:t>
      </w:r>
      <w:r>
        <w:rPr>
          <w:sz w:val="28"/>
          <w:szCs w:val="28"/>
          <w:lang w:val="uk-UA"/>
        </w:rPr>
        <w:t xml:space="preserve"> ментального здоров’я населення та сприяння вакцинації.</w:t>
      </w:r>
      <w:r>
        <w:rPr>
          <w:sz w:val="28"/>
          <w:szCs w:val="28"/>
          <w:lang w:val="uk-UA"/>
        </w:rPr>
      </w:r>
    </w:p>
    <w:p>
      <w:pPr>
        <w:pBdr/>
        <w:spacing w:after="120"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X</w:t>
      </w:r>
      <w:r>
        <w:rPr>
          <w:b/>
          <w:sz w:val="28"/>
          <w:szCs w:val="28"/>
          <w:lang w:val="en-US"/>
        </w:rPr>
        <w:t xml:space="preserve">I</w:t>
      </w:r>
      <w:r>
        <w:rPr>
          <w:b/>
          <w:sz w:val="28"/>
          <w:szCs w:val="28"/>
          <w:lang w:val="uk-UA"/>
        </w:rPr>
        <w:t xml:space="preserve">. МОЛОДЬ І СПОРТ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реалізації державної молодіжної політики в області забезпечено виконання обласної Програми «Молодь Чернігівщини» на 2021–2025 роки. У 2025 році з обласного бюджету на реалізацію молодіжних програм, заходів та утримання КУ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«Чернігівський обласний молодіжний центр» використано 4</w:t>
      </w:r>
      <w:r>
        <w:rPr>
          <w:sz w:val="28"/>
          <w:szCs w:val="28"/>
          <w:lang w:val="uk-UA"/>
        </w:rPr>
        <w:t xml:space="preserve">,2 млн</w:t>
      </w:r>
      <w:r>
        <w:rPr>
          <w:sz w:val="28"/>
          <w:szCs w:val="28"/>
          <w:lang w:val="uk-UA"/>
        </w:rPr>
        <w:t xml:space="preserve"> гр</w:t>
      </w:r>
      <w:r>
        <w:rPr>
          <w:sz w:val="28"/>
          <w:szCs w:val="28"/>
          <w:lang w:val="uk-UA"/>
        </w:rPr>
        <w:t xml:space="preserve">ивень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Пріоритетом молодіжної політики є активна взаємодія з громадськими організаціями та молоддю, підтримка ініціатив і спільна реалізація проєктів. У 2025 році обласним молодіжним центром проведено 332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заходи, учасниками яких стали </w:t>
      </w:r>
      <w:r>
        <w:rPr>
          <w:sz w:val="28"/>
          <w:szCs w:val="28"/>
          <w:lang w:val="uk-UA"/>
        </w:rPr>
        <w:t xml:space="preserve">понад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 тис. </w:t>
      </w:r>
      <w:r>
        <w:rPr>
          <w:sz w:val="28"/>
          <w:szCs w:val="28"/>
          <w:lang w:val="uk-UA"/>
        </w:rPr>
        <w:t xml:space="preserve">ос</w:t>
      </w:r>
      <w:r>
        <w:rPr>
          <w:sz w:val="28"/>
          <w:szCs w:val="28"/>
          <w:lang w:val="uk-UA"/>
        </w:rPr>
        <w:t xml:space="preserve">іб</w:t>
      </w:r>
      <w:r>
        <w:rPr>
          <w:sz w:val="28"/>
          <w:szCs w:val="28"/>
          <w:lang w:val="uk-UA"/>
        </w:rPr>
        <w:t xml:space="preserve">. Реалізовувалися освітні, культурні та дозвіллєві формати, зокрема мовні, читацькі, дебатні та кіноклуби, історичні лекції, кіберзмагання, фотопрогулянки, літературно-музичні вечори</w:t>
      </w:r>
      <w:r>
        <w:rPr>
          <w:sz w:val="28"/>
          <w:szCs w:val="28"/>
          <w:lang w:val="uk-UA"/>
        </w:rPr>
        <w:t xml:space="preserve"> тощо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 молодіжном</w:t>
      </w:r>
      <w:r>
        <w:rPr>
          <w:sz w:val="28"/>
          <w:szCs w:val="28"/>
          <w:lang w:val="uk-UA"/>
        </w:rPr>
        <w:t xml:space="preserve">у центрі функціонує аудіовізуальна студія «Контента» – безкоштовний мультифункціональний простір для молоді, створений за підтримки ЮНІСЕФ. Студія використовується для звукозапису, створення відеоконтенту, подкастів, проведення майстер-класів та екскурсій.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проведено дві мережеві зустрічі молодіжних працівників області, спрямовані на розвиток партнерства, обмін досвідом, напрацювання пропозицій до державних програм та посилення спроможності молодіжної роботи в громадах.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діють 5 молодіжних центрів комунальної власності та 51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молодіжний простір. Функціонують 23 молодіжні ради. У квітні 2025 року сформовано новий склад Молодіжної ради при Чернігівській обласній державній адміністрації у кількості 25 осіб.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сфері фізичної культури і спорту спортсмени області у 2025 році вибороли 678 медалей, з них 206 на міжнародних та 472 на всеукраїнських змаганнях. Підготовлено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заслужених майстрів спорту України, 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майстрів спорту міжнародного класу, 44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майстри спорту України. До складу національних збірних команд входив 311 представник області, у тому числі 32 особи з інвалідністю.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Представник Чернігівщини Олексій Коломієць виборов 4 медалі на XXV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літніх Дефлімпійських іграх у Токіо.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Продовжено підтримку провідних і перспективних спортсменів шляхом виплати стипендій та винагород.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Спортсменам – кандидатам на участь у XXV Дефлімпійських іграх 2025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року та XXV зимових Олімпійських іграх 2026 року виплачувалися щомісячні стипендії у розмірі від 5 до 10 тис. грн на загальну суму 335 тис. гр</w:t>
      </w:r>
      <w:r>
        <w:rPr>
          <w:sz w:val="28"/>
          <w:szCs w:val="28"/>
          <w:lang w:val="uk-UA"/>
        </w:rPr>
        <w:t xml:space="preserve">ивень.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 здобуті призові місця на офіційних міжнародних змаганнях з олімпійських видів спорту виплачено грошові винагороди спортсменам і тренерам на суму 350,3 тис. гриве</w:t>
      </w:r>
      <w:r>
        <w:rPr>
          <w:sz w:val="28"/>
          <w:szCs w:val="28"/>
          <w:lang w:val="uk-UA"/>
        </w:rPr>
        <w:t xml:space="preserve">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Провідним і перспективним спортсменам області, які мають високі спортивні досягнення, виплачено щомісячні стипендії на загальну суму 665,8  тис. гривень.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межах проєкту «Активні парки – локації здорової України» проведено 698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заходів за участі 8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225 осіб</w:t>
      </w:r>
      <w:r>
        <w:rPr>
          <w:sz w:val="28"/>
          <w:szCs w:val="28"/>
          <w:lang w:val="uk-UA"/>
        </w:rPr>
        <w:t xml:space="preserve">, у тому числі ветеранів війни та осіб з інвалідністю.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Реалізовувався проєкт «Пліч-о-пліч всеукраїнські шкільні ліги»,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якому у 2024–2025 навчальному році взяли участь понад 17 тис. учнів, а у сезоні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2025–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026 років зареєстровано понад 8,6 тис. учасників.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року в області проведено понад 200 спортивних і фізкультурно-масових заходів для ветеранів війни та членів їхніх сімей.</w:t>
      </w:r>
      <w:r>
        <w:rPr>
          <w:sz w:val="28"/>
          <w:szCs w:val="28"/>
          <w:lang w:val="uk-UA"/>
        </w:rPr>
      </w:r>
    </w:p>
    <w:p>
      <w:pPr>
        <w:pBdr/>
        <w:spacing w:after="120"/>
        <w:ind w:left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X</w:t>
      </w:r>
      <w:r>
        <w:rPr>
          <w:b/>
          <w:sz w:val="28"/>
          <w:szCs w:val="28"/>
          <w:lang w:val="uk-UA"/>
        </w:rPr>
        <w:t xml:space="preserve">ІІ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uk-UA"/>
        </w:rPr>
        <w:t xml:space="preserve">КУЛЬТУРА ТА НАЦІОНАЛЬНО-ПАТРІОТИЧНЕ ВИХОВАННЯ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культурна сфера Чернігівщини зосереджувалася на збереженні історичної пам’яті, утвердженні національної ідентичності та популяризації культурного надбання регіону в Україні й за кордоном. Попри умови воєнного стану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здійснювалися заходи з охорони музейних колекцій, збереження матеріальної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нематеріальної культурної спадщини, розвитку міжкультурного та міжконфесійного діалогу, а також деколонізації публічного простору.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Знаковими подіями с</w:t>
      </w:r>
      <w:r>
        <w:rPr>
          <w:sz w:val="28"/>
          <w:szCs w:val="28"/>
          <w:lang w:val="uk-UA"/>
        </w:rPr>
        <w:t xml:space="preserve">тали міжнародні презентації музейних колекцій області: експонування шаблі Івана Мазепи у Королівських зброярнях у Лондоні та мистецького твору «Дівчинка-українка» з фондів Чернігівського обласного художнього музею у Національному художньому музеї Румунії.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пам’ятних місць області увійшли до єдиного (всеукраїнського) маршруту пам’яті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 xml:space="preserve"> с. Ягідне, с. Лукашівка, с. Новоселівка, вулиця Чорновола в Чернігові, Чернігівський історичний музей ім. В.В. Тарновського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збереження музейних цінностей здійснено евакуацію предметів державної частини Музейного фонду України з 7 музеїв області до безпечних місць.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зареєстровано 956 релігійних громад. У 2025 році внесено 11 змін до статутів громад у зв’язку зі зміною канонічного підпорядкування з УПЦ (мп) до ПЦУ. Для координації міжцерковного діалогу створено обласну Раду Церков.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музеях області проведено 302 заходи національно-патріотичного спрямування, у тому числі 52 виставки.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Продовжувалася</w:t>
      </w:r>
      <w:r>
        <w:rPr>
          <w:sz w:val="28"/>
          <w:szCs w:val="28"/>
          <w:lang w:val="uk-UA"/>
        </w:rPr>
        <w:t xml:space="preserve"> робота зі збереження нематеріальної культурної спадщини. Обласний перелік поповнено п’ятьма елемент</w:t>
      </w:r>
      <w:r>
        <w:rPr>
          <w:sz w:val="28"/>
          <w:szCs w:val="28"/>
          <w:lang w:val="uk-UA"/>
        </w:rPr>
        <w:t xml:space="preserve">ами традиційної кухні та весільним обрядом «Шишки» на Бобровиччині. Загалом обласний перелік елементів нематеріальної культурної спадщини налічує 31 елемент, два з яких включено до Національного переліку елементів нематеріальної культурної спадщини України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«Художнє дереворізьблення Чернігівщини» та «Олешнянське гончарство».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Театрально-видовищні заклади області у 2025 році провели 961 виставу та концертну програму, які відвідали понад 123 тис. глядачів. Театри області представили низку прем’єрних постановок, зокрема у Чернігові та Ніжині.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Постійно здійснювалася робота з охорони об’єктів культурної спадщини: проведено обстеження та подано</w:t>
      </w:r>
      <w:r>
        <w:rPr>
          <w:bCs/>
          <w:iCs/>
          <w:sz w:val="28"/>
          <w:szCs w:val="28"/>
          <w:lang w:val="uk-UA"/>
        </w:rPr>
        <w:t xml:space="preserve"> документи для внесення до Державного реєстру</w:t>
      </w:r>
      <w:r>
        <w:rPr>
          <w:sz w:val="28"/>
          <w:szCs w:val="28"/>
          <w:highlight w:val="yellow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нерухомих пам’яток України 67 об’єктів археологічної спадщини. На виконання законодавства про деколонізацію з державного обліку знято 144 об’єкти культурної спадщини області, демонтаж символів російської імперської політики триває.</w:t>
      </w:r>
      <w:r>
        <w:rPr>
          <w:bCs/>
          <w:iCs/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У 2025 році в закладах освіти та культури Чернігівської області, а також у КУ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«Чернігівський обласний молодіжний центр» обласної ради системно реалізовувалися заходи, спрямовані на формування та утвердження української національної </w:t>
      </w:r>
      <w:r>
        <w:rPr>
          <w:sz w:val="28"/>
          <w:szCs w:val="28"/>
          <w:lang w:val="uk-UA"/>
        </w:rPr>
        <w:t xml:space="preserve">й громадянської ідентичності.</w:t>
      </w:r>
      <w:r>
        <w:rPr>
          <w:sz w:val="28"/>
          <w:szCs w:val="28"/>
          <w:lang w:val="uk-UA" w:eastAsia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Чернігівським обласним молодіжним центром проведено 70 національно-патріотичних </w:t>
      </w:r>
      <w:r>
        <w:rPr>
          <w:sz w:val="28"/>
          <w:szCs w:val="28"/>
          <w:lang w:val="uk-UA"/>
        </w:rPr>
        <w:t xml:space="preserve">заходів за участю понад 1 тис. осіб, серед я</w:t>
      </w:r>
      <w:r>
        <w:rPr>
          <w:sz w:val="28"/>
          <w:szCs w:val="28"/>
          <w:lang w:val="uk-UA"/>
        </w:rPr>
        <w:t xml:space="preserve">ких: музично-літературні вечори, кіноклуби, історичні гутірки, лекції, інтелектуальні ігри та квізи до державних свят, тематичні майстер-класи, флешмоби, заходи з відродження традицій, волонтерські та ветеранські ініціативи, освітні програми для підлітків.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закладах освіти області проведено понад 13 тис. виховних заходів національно-патріотичного спрямування з охопленням понад 110 тис. здобувачів освіти.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Закладами культури області організовано близько 250 заходів з охопленням понад 10 тис. осіб, у тому числі в онлайн-форматі.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Активно розвивається Всеукраїнська дитячо-юнацька військово-патріотична гра «Сокіл» («Джура»). У II (обласному) етапі взяли участь 51 рій (423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учасники). Представники Чернігівщини долучилися до III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(Всеукраїнського) етапу </w:t>
      </w:r>
      <w:r>
        <w:rPr>
          <w:sz w:val="28"/>
          <w:szCs w:val="28"/>
          <w:lang w:val="uk-UA"/>
        </w:rPr>
        <w:t xml:space="preserve">г</w:t>
      </w:r>
      <w:r>
        <w:rPr>
          <w:sz w:val="28"/>
          <w:szCs w:val="28"/>
          <w:lang w:val="uk-UA"/>
        </w:rPr>
        <w:t xml:space="preserve">ри.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Продовжила роботу </w:t>
      </w:r>
      <w:r>
        <w:rPr>
          <w:sz w:val="28"/>
          <w:szCs w:val="28"/>
          <w:lang w:val="uk-UA"/>
        </w:rPr>
        <w:t xml:space="preserve">Координаційна рада з питань утвердження української національної та громадянської ідентичності при </w:t>
      </w:r>
      <w:r>
        <w:rPr>
          <w:sz w:val="28"/>
          <w:szCs w:val="28"/>
          <w:lang w:val="uk-UA"/>
        </w:rPr>
        <w:t xml:space="preserve">Чернігівській обласній державній адмін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страції</w:t>
      </w:r>
      <w:r>
        <w:rPr>
          <w:sz w:val="28"/>
          <w:szCs w:val="28"/>
          <w:lang w:val="uk-UA"/>
        </w:rPr>
        <w:t xml:space="preserve"> (у 2025 році </w:t>
      </w:r>
      <w:r>
        <w:rPr>
          <w:sz w:val="28"/>
          <w:szCs w:val="28"/>
          <w:lang w:val="uk-UA"/>
        </w:rPr>
        <w:t xml:space="preserve">проведено 7 засідань, розглянуто 24 питання). Координаційні ради також створено при 5 районних державних адміністраціях та 27 органах місцевого самоврядування.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Здійснювалися інформаційні кампанії до державних свят і пам’ятних дат. </w:t>
      </w:r>
      <w:r>
        <w:rPr>
          <w:sz w:val="28"/>
          <w:szCs w:val="28"/>
          <w:lang w:val="uk-UA"/>
        </w:rPr>
      </w:r>
    </w:p>
    <w:p>
      <w:pPr>
        <w:pStyle w:val="790"/>
        <w:pBdr/>
        <w:spacing w:after="0" w:afterAutospacing="0" w:before="0" w:before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розроблено та затверджено Обласну цільову соціальну програму з утвердження української національної та громадянської ідентичності на 2026–2030 роки.</w:t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rFonts w:eastAsia="Calibri"/>
          <w:sz w:val="28"/>
          <w:szCs w:val="28"/>
          <w:lang w:val="uk-UA" w:eastAsia="en-US"/>
        </w:rPr>
      </w:r>
    </w:p>
    <w:p>
      <w:pPr>
        <w:pBdr/>
        <w:spacing w:after="12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X</w:t>
      </w:r>
      <w:r>
        <w:rPr>
          <w:b/>
          <w:sz w:val="28"/>
          <w:szCs w:val="28"/>
          <w:lang w:val="uk-UA"/>
        </w:rPr>
        <w:t xml:space="preserve">I</w:t>
      </w:r>
      <w:r>
        <w:rPr>
          <w:b/>
          <w:sz w:val="28"/>
          <w:szCs w:val="28"/>
          <w:lang w:val="uk-UA"/>
        </w:rPr>
        <w:t xml:space="preserve">ІІ</w:t>
      </w:r>
      <w:r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 xml:space="preserve">ЦИФРОВА ТРАНСФОРМАЦІЯ</w:t>
      </w:r>
      <w:r>
        <w:rPr>
          <w:b/>
          <w:sz w:val="28"/>
          <w:szCs w:val="28"/>
          <w:lang w:val="uk-UA"/>
        </w:rPr>
        <w:t xml:space="preserve">, ЗВʼЯЗОК</w:t>
      </w:r>
      <w:r>
        <w:rPr>
          <w:b/>
          <w:sz w:val="28"/>
          <w:szCs w:val="28"/>
          <w:lang w:val="uk-UA"/>
        </w:rPr>
        <w:t xml:space="preserve"> ТА РОЗВИТОК СИСТЕМИ НАДАННЯ АДМІНІСТРАТИВНИХ ПОСЛУГ 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У звітному періоді в області забезпечено системний підхід</w:t>
      </w:r>
      <w:r>
        <w:rPr>
          <w:sz w:val="28"/>
          <w:szCs w:val="28"/>
          <w:lang w:val="uk-UA"/>
        </w:rPr>
        <w:t xml:space="preserve"> до розвитку цифрової трансформації, що поєднує впровадження цифрових інструментів управління з модернізацією мережі ЦНАП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та розширенням доступності публічних сервісів для населення.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Фіксований доступ до Інтернету наявний в 1</w:t>
      </w:r>
      <w:r>
        <w:rPr>
          <w:sz w:val="28"/>
          <w:szCs w:val="28"/>
          <w:lang w:val="en-US"/>
        </w:rPr>
        <w:t xml:space="preserve"> </w:t>
      </w:r>
      <w:r>
        <w:rPr>
          <w:sz w:val="28"/>
          <w:szCs w:val="28"/>
          <w:lang w:val="uk-UA"/>
        </w:rPr>
        <w:t xml:space="preserve">014 населених пунктах області</w:t>
      </w:r>
      <w:r>
        <w:rPr>
          <w:sz w:val="28"/>
          <w:szCs w:val="28"/>
          <w:lang w:val="uk-UA"/>
        </w:rPr>
        <w:t xml:space="preserve">, з</w:t>
      </w:r>
      <w:r>
        <w:rPr>
          <w:sz w:val="28"/>
          <w:szCs w:val="28"/>
          <w:lang w:val="uk-UA"/>
        </w:rPr>
        <w:t xml:space="preserve"> них з використанням волоконно-оптичного кабелю (FTTx, xPON) – 750, з використанням інших технологій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264.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Послуги </w:t>
      </w:r>
      <w:r>
        <w:rPr>
          <w:sz w:val="28"/>
          <w:szCs w:val="28"/>
          <w:lang w:val="uk-UA"/>
        </w:rPr>
        <w:t xml:space="preserve">мобільного зв’язку надають 3 оператори: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ПрАТ «КИЇВСТАР» (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базових станцій, 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у прикордонній зоні);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ПрАТ «ВФ Україна» (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базових станцій, 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в прикордонній зоні);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ТОВ «Lifecell» (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базових станцій, </w:t>
      </w:r>
      <w:r>
        <w:rPr>
          <w:sz w:val="28"/>
          <w:szCs w:val="28"/>
          <w:lang w:val="uk-UA"/>
        </w:rPr>
        <w:t xml:space="preserve">…</w:t>
      </w:r>
      <w:r>
        <w:rPr>
          <w:sz w:val="28"/>
          <w:szCs w:val="28"/>
          <w:lang w:val="uk-UA"/>
        </w:rPr>
        <w:t xml:space="preserve"> в прикордонній зоні).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Індекс цифрової трансформації регіонів України є інструментом оцінки </w:t>
      </w:r>
      <w:r>
        <w:rPr>
          <w:sz w:val="28"/>
          <w:szCs w:val="28"/>
          <w:lang w:val="uk-UA"/>
        </w:rPr>
        <w:t xml:space="preserve">ефективності реалізації державної політики у сфері цифрового розвитку.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підсумками 2025 року </w:t>
      </w:r>
      <w:r>
        <w:rPr>
          <w:sz w:val="28"/>
          <w:szCs w:val="28"/>
          <w:lang w:val="uk-UA"/>
        </w:rPr>
        <w:t xml:space="preserve">область продемонструвала позитивну динаміку та посіла 10-те місце в загальнонаціональному рейтингу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ідбувався розвиток цифрових компетентностей населення. </w:t>
      </w:r>
      <w:r>
        <w:rPr>
          <w:sz w:val="28"/>
          <w:szCs w:val="28"/>
          <w:lang w:val="uk-UA"/>
        </w:rPr>
        <w:t xml:space="preserve">Реалізувалися програми підвищення цифрової грамотності та розширення доступу до освітніх цифрових платформ. </w:t>
      </w:r>
      <w:r>
        <w:rPr>
          <w:sz w:val="28"/>
          <w:szCs w:val="28"/>
          <w:lang w:val="uk-UA"/>
        </w:rPr>
        <w:t xml:space="preserve">Показник цифрових навичок зріс з 45,38 до </w:t>
      </w:r>
      <w:r>
        <w:rPr>
          <w:sz w:val="28"/>
          <w:szCs w:val="28"/>
          <w:lang w:val="uk-UA"/>
        </w:rPr>
        <w:t xml:space="preserve">70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напрямі розвитку цифрової інфраструктури область також демонструє стабільне зростання </w:t>
      </w:r>
      <w:r>
        <w:rPr>
          <w:sz w:val="28"/>
          <w:szCs w:val="28"/>
          <w:lang w:val="uk-UA"/>
        </w:rPr>
        <w:t xml:space="preserve">показників –</w:t>
      </w:r>
      <w:r>
        <w:rPr>
          <w:sz w:val="28"/>
          <w:szCs w:val="28"/>
          <w:lang w:val="uk-UA"/>
        </w:rPr>
        <w:t xml:space="preserve"> з 48,74 до 5</w:t>
      </w:r>
      <w:r>
        <w:rPr>
          <w:sz w:val="28"/>
          <w:szCs w:val="28"/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Рівень цифровізації публічних послуг станом на </w:t>
      </w:r>
      <w:r>
        <w:rPr>
          <w:sz w:val="28"/>
          <w:szCs w:val="28"/>
          <w:lang w:val="uk-UA"/>
        </w:rPr>
        <w:t xml:space="preserve">01.01.2026</w:t>
      </w:r>
      <w:r>
        <w:rPr>
          <w:sz w:val="28"/>
          <w:szCs w:val="28"/>
          <w:lang w:val="uk-UA"/>
        </w:rPr>
        <w:t xml:space="preserve"> станови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1,3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, що є одним із чинників покращення загального показника Індексу та позицій області у всеукраїнському рейтингу.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lang w:val="uk-UA"/>
        </w:rPr>
        <w:t xml:space="preserve">Попри складну безпекову</w:t>
      </w:r>
      <w:r>
        <w:rPr>
          <w:sz w:val="28"/>
          <w:szCs w:val="28"/>
          <w:lang w:val="uk-UA"/>
        </w:rPr>
        <w:t xml:space="preserve"> ситуацію, відсутність субвенції з державного</w:t>
      </w:r>
      <w:r>
        <w:rPr>
          <w:sz w:val="28"/>
          <w:szCs w:val="28"/>
          <w:lang w:val="uk-UA"/>
        </w:rPr>
        <w:t xml:space="preserve"> бюджету місцевим бюджетам на розвиток мережі ЦНАП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 та обмеженість фінансових ресурсів громад в області продовж</w:t>
      </w:r>
      <w:r>
        <w:rPr>
          <w:sz w:val="28"/>
          <w:szCs w:val="28"/>
          <w:lang w:val="uk-UA"/>
        </w:rPr>
        <w:t xml:space="preserve">увалася</w:t>
      </w:r>
      <w:r>
        <w:rPr>
          <w:sz w:val="28"/>
          <w:szCs w:val="28"/>
          <w:lang w:val="uk-UA"/>
        </w:rPr>
        <w:t xml:space="preserve"> робота, спрямована на розбудову й модернізацію мережі ЦНАП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, а також на підвищення якості та доступності адміністративних послуг.</w:t>
      </w:r>
      <w:r>
        <w:rPr>
          <w:sz w:val="28"/>
          <w:szCs w:val="28"/>
          <w:highlight w:val="yellow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області функціону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195 точок доступу до адміністративних послуг (на 20 більше, ніж у 2024 році, +11,4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%), </w:t>
      </w:r>
      <w:r>
        <w:rPr>
          <w:sz w:val="28"/>
          <w:szCs w:val="28"/>
          <w:lang w:val="uk-UA"/>
        </w:rPr>
        <w:t xml:space="preserve">зокрема 57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ЦНАП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, 120 віддалених робочих місць, </w:t>
      </w:r>
      <w:r>
        <w:rPr>
          <w:sz w:val="28"/>
          <w:szCs w:val="28"/>
          <w:lang w:val="uk-UA"/>
        </w:rPr>
        <w:t xml:space="preserve">один</w:t>
      </w:r>
      <w:r>
        <w:rPr>
          <w:sz w:val="28"/>
          <w:szCs w:val="28"/>
          <w:lang w:val="uk-UA"/>
        </w:rPr>
        <w:t xml:space="preserve"> мобільний ЦНАП, </w:t>
      </w:r>
      <w:r>
        <w:rPr>
          <w:sz w:val="28"/>
          <w:szCs w:val="28"/>
          <w:lang w:val="uk-UA"/>
        </w:rPr>
        <w:t xml:space="preserve">один</w:t>
      </w:r>
      <w:r>
        <w:rPr>
          <w:sz w:val="28"/>
          <w:szCs w:val="28"/>
          <w:lang w:val="uk-UA"/>
        </w:rPr>
        <w:t xml:space="preserve"> територіальний підрозділ</w:t>
      </w:r>
      <w:r>
        <w:rPr>
          <w:sz w:val="28"/>
          <w:szCs w:val="28"/>
          <w:lang w:val="uk-UA"/>
        </w:rPr>
        <w:t xml:space="preserve"> ЦНАП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та 16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старостатів.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2025 рік надано понад 763 тис. послуг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продовжилася цифровізація процесів надання адміністративних послуг. </w:t>
      </w:r>
      <w:r>
        <w:rPr>
          <w:sz w:val="28"/>
          <w:szCs w:val="28"/>
          <w:lang w:val="uk-UA"/>
        </w:rPr>
        <w:t xml:space="preserve">До інформаційно-комунікаційної системи «Вулик» підключено 49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ЦНАП</w:t>
      </w:r>
      <w:r>
        <w:rPr>
          <w:sz w:val="28"/>
          <w:szCs w:val="28"/>
          <w:lang w:val="uk-UA"/>
        </w:rPr>
        <w:t xml:space="preserve">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межах міжнародної співпраці громади області продовжують взаємоді</w:t>
      </w:r>
      <w:r>
        <w:rPr>
          <w:sz w:val="28"/>
          <w:szCs w:val="28"/>
          <w:lang w:val="uk-UA"/>
        </w:rPr>
        <w:t xml:space="preserve">ю з Програмою «Електронне урядування задля підзвітності влади та участі громади» (EGAP), яку реалізує Фонд Східна Європа, Програмою розвитку ООН (UNDP), Програмою Polaris «Підтримка багаторівневого врядування в Україні» та іншими міжнародними ініціативами.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Системну підтримку в межах Програми EGAP отримують 9 територіальних громад області (Бобровицька, Іванівська, Менська, Сновська, Прилуцька, Ніжинська, Сосницька, Корюківська та Михайло-Коцюбинська). У ЦНАП</w:t>
      </w:r>
      <w:r>
        <w:rPr>
          <w:sz w:val="28"/>
          <w:szCs w:val="28"/>
          <w:lang w:val="uk-UA"/>
        </w:rPr>
        <w:t xml:space="preserve">ах </w:t>
      </w:r>
      <w:r>
        <w:rPr>
          <w:sz w:val="28"/>
          <w:szCs w:val="28"/>
          <w:lang w:val="uk-UA"/>
        </w:rPr>
        <w:t xml:space="preserve">здійснюється модернізація матеріально-технічної бази: центри оснащуються сучасним обладнанням, системами електронної черги, паспортними станціями та кол-центрами, забезпечується їх енергонезалежність і створюються публічні точки доступу до мережі Інтернет.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низці громад проведено аудити безбар’єрності та реалізовано заходи з популяризації місць самообслуговування.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Окремим прикладом практичної підтримки громад є співпраця з Програмою Polaris, що фінансується </w:t>
      </w:r>
      <w:r>
        <w:rPr>
          <w:sz w:val="28"/>
          <w:szCs w:val="28"/>
          <w:lang w:val="uk-UA"/>
        </w:rPr>
        <w:t xml:space="preserve">Урядом Швеції через Шведське агентство міжнародної співпраці та розвитку (Sida) та реалізується компанією SALAR International. У 2025 ро</w:t>
      </w:r>
      <w:r>
        <w:rPr>
          <w:sz w:val="28"/>
          <w:szCs w:val="28"/>
          <w:lang w:val="uk-UA"/>
        </w:rPr>
        <w:t xml:space="preserve">ці</w:t>
      </w:r>
      <w:r>
        <w:rPr>
          <w:sz w:val="28"/>
          <w:szCs w:val="28"/>
          <w:lang w:val="uk-UA"/>
        </w:rPr>
        <w:t xml:space="preserve"> Коропський ЦНАП отримав спеціалізований автомобіль для виїзного обслуговування мешканців громади, оснащений усім необхідним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обладнанням, а також комп</w:t>
      </w:r>
      <w:r>
        <w:rPr>
          <w:sz w:val="28"/>
          <w:szCs w:val="28"/>
          <w:lang w:val="uk-UA"/>
        </w:rPr>
        <w:t xml:space="preserve">’</w:t>
      </w:r>
      <w:r>
        <w:rPr>
          <w:sz w:val="28"/>
          <w:szCs w:val="28"/>
          <w:lang w:val="uk-UA"/>
        </w:rPr>
        <w:t xml:space="preserve">ютерну техніку.</w:t>
      </w:r>
      <w:r>
        <w:rPr>
          <w:sz w:val="28"/>
          <w:szCs w:val="28"/>
          <w:lang w:val="uk-UA"/>
        </w:rPr>
      </w:r>
    </w:p>
    <w:p>
      <w:pPr>
        <w:pBdr/>
        <w:spacing w:after="120" w:before="240"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X</w:t>
      </w:r>
      <w:r>
        <w:rPr>
          <w:b/>
          <w:sz w:val="28"/>
          <w:szCs w:val="28"/>
          <w:lang w:val="uk-UA"/>
        </w:rPr>
        <w:t xml:space="preserve">I</w:t>
      </w:r>
      <w:r>
        <w:rPr>
          <w:b/>
          <w:sz w:val="28"/>
          <w:szCs w:val="28"/>
          <w:lang w:val="en-US"/>
        </w:rPr>
        <w:t xml:space="preserve">V</w:t>
      </w:r>
      <w:r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  <w:lang w:val="uk-UA"/>
        </w:rPr>
        <w:t xml:space="preserve">АГРАРНИЙ КОМПЛЕКС 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Сільське господарство Чернігівщини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–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одна з ключових галузей економіки регіону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–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майже повністю відновило діяльність. У 2025 ро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ці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всіма категоріями господарств вироблено валов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ої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продукці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ї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сільського господарства в постійних цінах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2021 року на суму 63,8 млрд грн, що становить 104,1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 до показника 2024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року та 98,9% до рівня 2021 року.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Підприємствами вироблено продукції на 56,7 млрд грн (105,5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 до 2024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року та 102,8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 до 2021 року).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Обсяг продукції рослинництва становив 57,9 млрд грн (104,7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%), тваринництва </w:t>
      </w:r>
      <w:r>
        <w:rPr>
          <w:rFonts w:eastAsiaTheme="minorHAnsi" w:cstheme="minorHAnsi"/>
          <w:sz w:val="28"/>
          <w:szCs w:val="22"/>
          <w:lang w:val="en-US" w:eastAsia="en-US"/>
        </w:rPr>
        <w:t xml:space="preserve">–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5,9 млрд грн (97,9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%).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У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структурі виробництва галузь рослинництва займає 91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%, тваринницька галузь – 9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/>
      <w:bookmarkStart w:id="10" w:name="_Hlk189484691"/>
      <w:r>
        <w:rPr>
          <w:rFonts w:eastAsiaTheme="minorHAnsi" w:cstheme="minorHAnsi"/>
          <w:sz w:val="28"/>
          <w:szCs w:val="28"/>
          <w:lang w:val="uk-UA" w:eastAsia="en-US"/>
        </w:rPr>
        <w:t xml:space="preserve">За попередніми даними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,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 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у 2025 році по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 всіх категоріях господарств намолочено </w:t>
      </w:r>
      <w:r>
        <w:rPr>
          <w:rFonts w:eastAsiaTheme="minorHAnsi" w:cstheme="minorHAnsi"/>
          <w:bCs/>
          <w:sz w:val="28"/>
          <w:szCs w:val="28"/>
          <w:lang w:val="uk-UA" w:eastAsia="en-US"/>
        </w:rPr>
        <w:t xml:space="preserve">5,7 млн т</w:t>
      </w:r>
      <w:r>
        <w:rPr>
          <w:rFonts w:eastAsiaTheme="minorHAnsi" w:cstheme="minorHAnsi"/>
          <w:bCs/>
          <w:sz w:val="28"/>
          <w:szCs w:val="28"/>
          <w:lang w:val="uk-UA" w:eastAsia="en-US"/>
        </w:rPr>
        <w:t xml:space="preserve">онн</w:t>
      </w:r>
      <w:r>
        <w:rPr>
          <w:rFonts w:eastAsiaTheme="minorHAnsi" w:cstheme="minorHAnsi"/>
          <w:bCs/>
          <w:sz w:val="28"/>
          <w:szCs w:val="28"/>
          <w:lang w:val="uk-UA" w:eastAsia="en-US"/>
        </w:rPr>
        <w:t xml:space="preserve"> зернових та зернобобових культур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 (на 16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% більше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2024 року). Рівень урожайності – 74,2 ц/га.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="Calibri" w:cstheme="minorHAnsi"/>
          <w:sz w:val="28"/>
          <w:szCs w:val="28"/>
          <w:lang w:val="uk-UA" w:eastAsia="en-US"/>
        </w:rPr>
        <w:t xml:space="preserve">Під урожай 2026 року посіяно 213,9 тис. га озимих зернових культур, що на 1,4 тис. га</w:t>
      </w:r>
      <w:r>
        <w:rPr>
          <w:rFonts w:eastAsia="Calibri" w:cstheme="minorHAnsi"/>
          <w:sz w:val="28"/>
          <w:szCs w:val="28"/>
          <w:lang w:val="uk-UA" w:eastAsia="en-US"/>
        </w:rPr>
        <w:t xml:space="preserve">,</w:t>
      </w:r>
      <w:r>
        <w:rPr>
          <w:rFonts w:eastAsia="Calibri" w:cstheme="minorHAnsi"/>
          <w:sz w:val="28"/>
          <w:szCs w:val="28"/>
          <w:lang w:val="uk-UA" w:eastAsia="en-US"/>
        </w:rPr>
        <w:t xml:space="preserve"> або 0,7% більше, ніж під урожай 2025 року, з них 201,8 тис. га пшениці, 9,1 тис. га жита та 3 тис. га ячменю. Крім того, посіяно 73,8 тис. га озимого ріпаку.</w:t>
      </w:r>
      <w:bookmarkEnd w:id="10"/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Станом на 01.01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.2026 чисельність поголів’я ВРХ в усіх категоріях господарств області в порівнян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н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і з аналогічною датою минулого року збільшилася на 3,7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 і становила 122,3 тис. голів, з них корів 63 тис. голів, сільськогосподарськими підприємствами утримувалось 93,3 тис. голів ВРХ, з них корів 38 тис. голів.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Загалом в області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у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2025 ро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ці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вироблено 412,5 тис. тонн молока, що на 2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 більше аналогічного періоду 2024 року, з них сільськогосподарськими підприємствами – 287 тис. тонн, господарствами населення – 125,5 тис. тонн.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Середній надій від однієї корови у 2025 році збільшився на 832 кг (+10,2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%) і станови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в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9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013 кг.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8"/>
          <w:lang w:val="uk-UA" w:eastAsia="en-US"/>
        </w:rPr>
      </w:pPr>
      <w:r>
        <w:rPr>
          <w:rFonts w:eastAsiaTheme="minorHAnsi" w:cstheme="minorHAnsi"/>
          <w:sz w:val="28"/>
          <w:szCs w:val="28"/>
          <w:lang w:val="uk-UA" w:eastAsia="en-US"/>
        </w:rPr>
        <w:t xml:space="preserve">Протягом 2025 року проводилось будівництво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/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реконструкція 25 об’єктів агропромислового комплексу області на загальну суму інвестицій 673 млн грн, з них завершено 10 на суму 372,4 млн гр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ивень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.</w:t>
      </w:r>
      <w:r>
        <w:rPr>
          <w:rFonts w:eastAsiaTheme="minorHAnsi" w:cstheme="minorHAnsi"/>
          <w:sz w:val="28"/>
          <w:szCs w:val="28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8"/>
          <w:lang w:val="uk-UA" w:eastAsia="en-US"/>
        </w:rPr>
      </w:pPr>
      <w:r>
        <w:rPr>
          <w:rFonts w:eastAsiaTheme="minorHAnsi" w:cstheme="minorHAnsi"/>
          <w:sz w:val="28"/>
          <w:szCs w:val="28"/>
          <w:lang w:val="uk-UA" w:eastAsia="en-US"/>
        </w:rPr>
        <w:t xml:space="preserve">У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 загальній товарній структурі експорту області сільськогосподарська продукція та харчові продукти склали понад 80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%.</w:t>
      </w:r>
      <w:r>
        <w:rPr>
          <w:rFonts w:eastAsiaTheme="minorHAnsi" w:cstheme="minorHAnsi"/>
          <w:sz w:val="28"/>
          <w:szCs w:val="28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8"/>
          <w:lang w:val="uk-UA" w:eastAsia="en-US"/>
        </w:rPr>
        <w:t xml:space="preserve">Підприємствами агропромислового комплексу у 2025 році сплачено до державного бюджету 2,7 млрд грн податків, до місцевого – 3 млрд гр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ивень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. Питома вага АПК у сумі сплачених податків до державного бюджету становила 16,6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%, до місцевого 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– 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27,5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 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%.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/>
        <w:ind w:firstLine="567"/>
        <w:jc w:val="both"/>
        <w:rPr>
          <w:rFonts w:eastAsiaTheme="minorHAnsi" w:cstheme="minorHAnsi"/>
          <w:sz w:val="28"/>
          <w:szCs w:val="22"/>
          <w:lang w:val="uk-UA" w:eastAsia="en-US"/>
        </w:rPr>
      </w:pPr>
      <w:r>
        <w:rPr>
          <w:rFonts w:eastAsiaTheme="minorHAnsi" w:cstheme="minorHAnsi"/>
          <w:sz w:val="28"/>
          <w:szCs w:val="22"/>
          <w:lang w:val="uk-UA" w:eastAsia="en-US"/>
        </w:rPr>
        <w:t xml:space="preserve">У 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ході виконання заходів Комплексної Програми підтримки розвитку агропромислового комплексу Чернігівської області на 2021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–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2027 роки </w:t>
      </w:r>
      <w:r>
        <w:rPr>
          <w:rFonts w:eastAsiaTheme="minorHAnsi" w:cstheme="minorHAnsi"/>
          <w:sz w:val="28"/>
          <w:szCs w:val="22"/>
          <w:lang w:val="uk-UA" w:eastAsia="en-US"/>
        </w:rPr>
        <w:br/>
        <w:t xml:space="preserve">6 багатодітних родин отримали нетелей з високим генетичним потенціалом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,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 на закупівлю яких з обласного бюджету використано 273 тис. гр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ивень</w:t>
      </w:r>
      <w:r>
        <w:rPr>
          <w:rFonts w:eastAsiaTheme="minorHAnsi" w:cstheme="minorHAnsi"/>
          <w:sz w:val="28"/>
          <w:szCs w:val="22"/>
          <w:lang w:val="uk-UA" w:eastAsia="en-US"/>
        </w:rPr>
        <w:t xml:space="preserve">.</w:t>
      </w:r>
      <w:r>
        <w:rPr>
          <w:rFonts w:eastAsiaTheme="minorHAnsi" w:cstheme="minorHAnsi"/>
          <w:sz w:val="28"/>
          <w:szCs w:val="22"/>
          <w:lang w:val="uk-UA" w:eastAsia="en-US"/>
        </w:rPr>
      </w:r>
    </w:p>
    <w:p>
      <w:pPr>
        <w:pBdr/>
        <w:spacing w:after="240"/>
        <w:ind w:firstLine="567"/>
        <w:jc w:val="both"/>
        <w:rPr>
          <w:rFonts w:eastAsiaTheme="minorHAnsi" w:cstheme="minorHAnsi"/>
          <w:sz w:val="28"/>
          <w:szCs w:val="28"/>
          <w:lang w:val="uk-UA" w:eastAsia="en-US"/>
        </w:rPr>
      </w:pPr>
      <w:r>
        <w:rPr>
          <w:rFonts w:eastAsiaTheme="minorHAnsi" w:cstheme="minorHAnsi"/>
          <w:sz w:val="28"/>
          <w:szCs w:val="28"/>
          <w:lang w:val="uk-UA" w:eastAsia="en-US"/>
        </w:rPr>
        <w:t xml:space="preserve">За державними програмами підтримки аграрії області отримали 110,3 </w:t>
      </w:r>
      <w:r>
        <w:rPr>
          <w:rFonts w:eastAsiaTheme="minorHAnsi" w:cstheme="minorHAnsi"/>
          <w:bCs/>
          <w:sz w:val="28"/>
          <w:szCs w:val="28"/>
          <w:lang w:val="uk-UA" w:eastAsia="en-US"/>
        </w:rPr>
        <w:t xml:space="preserve">млн грн, а також 3,5 млрд грн пільгових кредитів за програмою </w:t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«Доступні кредити </w:t>
      </w:r>
      <w:r>
        <w:rPr>
          <w:rFonts w:eastAsiaTheme="minorHAnsi" w:cstheme="minorHAnsi"/>
          <w:sz w:val="28"/>
          <w:szCs w:val="28"/>
          <w:lang w:val="uk-UA" w:eastAsia="en-US"/>
        </w:rPr>
        <w:br/>
      </w:r>
      <w:r>
        <w:rPr>
          <w:rFonts w:eastAsiaTheme="minorHAnsi" w:cstheme="minorHAnsi"/>
          <w:sz w:val="28"/>
          <w:szCs w:val="28"/>
          <w:lang w:val="uk-UA" w:eastAsia="en-US"/>
        </w:rPr>
        <w:t xml:space="preserve">5-7-9%».</w:t>
      </w:r>
      <w:r>
        <w:rPr>
          <w:rFonts w:eastAsiaTheme="minorHAnsi" w:cstheme="minorHAnsi"/>
          <w:sz w:val="28"/>
          <w:szCs w:val="28"/>
          <w:lang w:val="uk-UA" w:eastAsia="en-US"/>
        </w:rPr>
      </w:r>
    </w:p>
    <w:p>
      <w:pPr>
        <w:pBdr/>
        <w:spacing w:after="120" w:before="240"/>
        <w:ind w:left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X</w:t>
      </w:r>
      <w:r>
        <w:rPr>
          <w:b/>
          <w:sz w:val="28"/>
          <w:szCs w:val="28"/>
          <w:lang w:val="en-US"/>
        </w:rPr>
        <w:t xml:space="preserve">V</w:t>
      </w:r>
      <w:r>
        <w:rPr>
          <w:b/>
          <w:sz w:val="28"/>
          <w:szCs w:val="28"/>
          <w:lang w:val="uk-UA"/>
        </w:rPr>
        <w:t xml:space="preserve">.</w:t>
      </w:r>
      <w:r>
        <w:rPr>
          <w:b/>
          <w:sz w:val="28"/>
          <w:szCs w:val="28"/>
          <w:lang w:val="uk-UA"/>
        </w:rPr>
        <w:t xml:space="preserve"> </w:t>
      </w:r>
      <w:r>
        <w:rPr>
          <w:b/>
          <w:sz w:val="28"/>
          <w:szCs w:val="28"/>
          <w:lang w:val="uk-UA"/>
        </w:rPr>
        <w:t xml:space="preserve">ЖИТЛОВО-КОМУНАЛЬНЕ ГОСПОДАРСТВО, </w:t>
      </w:r>
      <w:r>
        <w:rPr>
          <w:b/>
          <w:sz w:val="28"/>
          <w:szCs w:val="28"/>
          <w:lang w:val="uk-UA"/>
        </w:rPr>
        <w:t xml:space="preserve">Е</w:t>
      </w:r>
      <w:r>
        <w:rPr>
          <w:b/>
          <w:sz w:val="28"/>
          <w:szCs w:val="28"/>
          <w:lang w:val="uk-UA"/>
        </w:rPr>
        <w:t xml:space="preserve">НЕРГОЕФЕКТИВНІСТЬ</w:t>
      </w:r>
      <w:r>
        <w:rPr>
          <w:b/>
          <w:sz w:val="28"/>
          <w:szCs w:val="28"/>
          <w:lang w:val="uk-UA"/>
        </w:rPr>
        <w:t xml:space="preserve">, ТРАНСПОРТ </w:t>
      </w:r>
      <w:r>
        <w:rPr>
          <w:b/>
          <w:sz w:val="28"/>
          <w:szCs w:val="28"/>
          <w:lang w:val="uk-UA"/>
        </w:rPr>
      </w:r>
    </w:p>
    <w:p>
      <w:pPr>
        <w:pStyle w:val="820"/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з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абезпечено стабільне функціонування підприємств житлово-комунального господарства області та безперебійне забезпечення споживачів відповідними послугами.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</w:r>
    </w:p>
    <w:p>
      <w:pPr>
        <w:pStyle w:val="820"/>
        <w:pBdr/>
        <w:tabs>
          <w:tab w:val="left" w:leader="none" w:pos="993"/>
        </w:tabs>
        <w:spacing w:after="0" w:line="240" w:lineRule="auto"/>
        <w:ind w:firstLine="567" w:left="0"/>
        <w:contextualSpacing w:val="false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Організовано підготовку об’єктів підприємств паливно-енергетичного комплексу, житлово-комунального господарства та бюджетної сфери до роботи в осінньо-зимовий період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/202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</w:r>
    </w:p>
    <w:p>
      <w:pPr>
        <w:pStyle w:val="843"/>
        <w:pBdr/>
        <w:spacing/>
        <w:ind w:firstLine="567"/>
        <w:jc w:val="both"/>
        <w:rPr>
          <w:bCs/>
        </w:rPr>
      </w:pPr>
      <w:r>
        <w:t xml:space="preserve">Здійснювалася заходи щодо забезпечення </w:t>
      </w:r>
      <w:r>
        <w:t xml:space="preserve">підприємств житлово-комунального господарства області джерелами резервного живлення </w:t>
      </w:r>
      <w:r>
        <w:t xml:space="preserve">н</w:t>
      </w:r>
      <w:r>
        <w:t xml:space="preserve">а випадок планових та аварійних відключень електричної енергії</w:t>
      </w:r>
      <w:r>
        <w:rPr>
          <w:bCs/>
        </w:rPr>
        <w:t xml:space="preserve">. </w:t>
      </w:r>
      <w:r>
        <w:rPr>
          <w:bCs/>
        </w:rPr>
      </w:r>
    </w:p>
    <w:p>
      <w:pPr>
        <w:pBdr/>
        <w:spacing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У межах реалізації постанови Кабінету Міністрів України щодо надання одноразової грошової допомоги на придбання т</w:t>
      </w:r>
      <w:r>
        <w:rPr>
          <w:iCs/>
          <w:sz w:val="28"/>
          <w:szCs w:val="28"/>
          <w:lang w:val="uk-UA"/>
        </w:rPr>
        <w:t xml:space="preserve">вердого пічного палива населенню, яке проживає на територіях, де ведуться (велися) бойові дії, допомогу у розмірі 19 400 грн отримали 19 788 родин у Новгород-Сіверській, Корюківській, Городнянській, Сновській та Семенівській громадах, а також 4 989 родин, </w:t>
      </w:r>
      <w:r>
        <w:rPr>
          <w:iCs/>
          <w:sz w:val="28"/>
          <w:szCs w:val="28"/>
          <w:lang w:val="uk-UA"/>
        </w:rPr>
        <w:t xml:space="preserve">які</w:t>
      </w:r>
      <w:r>
        <w:rPr>
          <w:iCs/>
          <w:sz w:val="28"/>
          <w:szCs w:val="28"/>
          <w:lang w:val="uk-UA"/>
        </w:rPr>
        <w:t xml:space="preserve"> мешкають в інших громадах області.</w:t>
      </w:r>
      <w:r>
        <w:rPr>
          <w:i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Серед організацій, які долучилися до надання допомоги: УВКБ ООН, Міжнародне товариство Червоного Хреста, Чернігівська обласна організація Товариства Червоного Хреста України, UNICEF, ACTED, ADRA, CaritasUA, DRC, Lampa, SSS та інші.</w:t>
      </w:r>
      <w:r>
        <w:rPr>
          <w:i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Позитивн</w:t>
      </w:r>
      <w:r>
        <w:rPr>
          <w:iCs/>
          <w:sz w:val="28"/>
          <w:szCs w:val="28"/>
          <w:lang w:val="uk-UA"/>
        </w:rPr>
        <w:t xml:space="preserve">у</w:t>
      </w: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динамік</w:t>
      </w:r>
      <w:r>
        <w:rPr>
          <w:iCs/>
          <w:sz w:val="28"/>
          <w:szCs w:val="28"/>
          <w:lang w:val="uk-UA"/>
        </w:rPr>
        <w:t xml:space="preserve">у </w:t>
      </w:r>
      <w:r>
        <w:rPr>
          <w:iCs/>
          <w:sz w:val="28"/>
          <w:szCs w:val="28"/>
          <w:lang w:val="uk-UA"/>
        </w:rPr>
        <w:t xml:space="preserve">збер</w:t>
      </w:r>
      <w:r>
        <w:rPr>
          <w:iCs/>
          <w:sz w:val="28"/>
          <w:szCs w:val="28"/>
          <w:lang w:val="uk-UA"/>
        </w:rPr>
        <w:t xml:space="preserve">ежено</w:t>
      </w:r>
      <w:r>
        <w:rPr>
          <w:iCs/>
          <w:sz w:val="28"/>
          <w:szCs w:val="28"/>
          <w:lang w:val="uk-UA"/>
        </w:rPr>
        <w:t xml:space="preserve"> в </w:t>
      </w:r>
      <w:r>
        <w:rPr>
          <w:iCs/>
          <w:sz w:val="28"/>
          <w:szCs w:val="28"/>
          <w:lang w:val="uk-UA"/>
        </w:rPr>
        <w:t xml:space="preserve">нарощуванні потужностей альтернативної електроенергетики. Порівняно з 2024 роком потужність таких об’єктів збільшилась на </w:t>
      </w:r>
      <w:r>
        <w:rPr>
          <w:iCs/>
          <w:sz w:val="28"/>
          <w:szCs w:val="28"/>
          <w:lang w:val="uk-UA"/>
        </w:rPr>
        <w:t xml:space="preserve">…</w:t>
      </w:r>
      <w:r>
        <w:rPr>
          <w:iCs/>
          <w:sz w:val="28"/>
          <w:szCs w:val="28"/>
          <w:lang w:val="uk-UA"/>
        </w:rPr>
        <w:t xml:space="preserve"> МВт за рахунок введення в експлуатацію </w:t>
      </w:r>
      <w:r>
        <w:rPr>
          <w:iCs/>
          <w:sz w:val="28"/>
          <w:szCs w:val="28"/>
          <w:lang w:val="uk-UA"/>
        </w:rPr>
        <w:t xml:space="preserve">…</w:t>
      </w:r>
      <w:r>
        <w:rPr>
          <w:iCs/>
          <w:sz w:val="28"/>
          <w:szCs w:val="28"/>
          <w:lang w:val="uk-UA"/>
        </w:rPr>
        <w:t xml:space="preserve"> нов</w:t>
      </w:r>
      <w:r>
        <w:rPr>
          <w:iCs/>
          <w:sz w:val="28"/>
          <w:szCs w:val="28"/>
          <w:lang w:val="uk-UA"/>
        </w:rPr>
        <w:t xml:space="preserve">их</w:t>
      </w: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сонячних електростанцій</w:t>
      </w:r>
      <w:r>
        <w:rPr>
          <w:iCs/>
          <w:sz w:val="28"/>
          <w:szCs w:val="28"/>
          <w:lang w:val="uk-UA"/>
        </w:rPr>
        <w:t xml:space="preserve"> населенням області і на кінець 2025 року становила 66,9 МВт. </w:t>
      </w:r>
      <w:r>
        <w:rPr>
          <w:i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У житловій сфері ОСББ Чернігівської області продовжувалися роботи </w:t>
      </w:r>
      <w:r>
        <w:rPr>
          <w:iCs/>
          <w:sz w:val="28"/>
          <w:szCs w:val="28"/>
          <w:lang w:val="uk-UA"/>
        </w:rPr>
        <w:t xml:space="preserve">і</w:t>
      </w:r>
      <w:r>
        <w:rPr>
          <w:iCs/>
          <w:sz w:val="28"/>
          <w:szCs w:val="28"/>
          <w:lang w:val="uk-UA"/>
        </w:rPr>
        <w:t xml:space="preserve">з</w:t>
      </w:r>
      <w:r>
        <w:rPr>
          <w:iCs/>
          <w:sz w:val="28"/>
          <w:szCs w:val="28"/>
          <w:lang w:val="uk-UA"/>
        </w:rPr>
        <w:t xml:space="preserve"> впровадження енергоефективних заходів. У 2025 році завершено про</w:t>
      </w:r>
      <w:r>
        <w:rPr>
          <w:iCs/>
          <w:sz w:val="28"/>
          <w:szCs w:val="28"/>
          <w:lang w:val="uk-UA"/>
        </w:rPr>
        <w:t xml:space="preserve">є</w:t>
      </w:r>
      <w:r>
        <w:rPr>
          <w:iCs/>
          <w:sz w:val="28"/>
          <w:szCs w:val="28"/>
          <w:lang w:val="uk-UA"/>
        </w:rPr>
        <w:t xml:space="preserve">кти з термомодернізації будівель п’яти ОСББ (тр</w:t>
      </w:r>
      <w:r>
        <w:rPr>
          <w:iCs/>
          <w:sz w:val="28"/>
          <w:szCs w:val="28"/>
          <w:lang w:val="uk-UA"/>
        </w:rPr>
        <w:t xml:space="preserve">ьох</w:t>
      </w:r>
      <w:r>
        <w:rPr>
          <w:iCs/>
          <w:sz w:val="28"/>
          <w:szCs w:val="28"/>
          <w:lang w:val="uk-UA"/>
        </w:rPr>
        <w:t xml:space="preserve"> у м. Черніг</w:t>
      </w:r>
      <w:r>
        <w:rPr>
          <w:iCs/>
          <w:sz w:val="28"/>
          <w:szCs w:val="28"/>
          <w:lang w:val="uk-UA"/>
        </w:rPr>
        <w:t xml:space="preserve">ові</w:t>
      </w:r>
      <w:r>
        <w:rPr>
          <w:iCs/>
          <w:sz w:val="28"/>
          <w:szCs w:val="28"/>
          <w:lang w:val="uk-UA"/>
        </w:rPr>
        <w:t xml:space="preserve"> та дв</w:t>
      </w:r>
      <w:r>
        <w:rPr>
          <w:iCs/>
          <w:sz w:val="28"/>
          <w:szCs w:val="28"/>
          <w:lang w:val="uk-UA"/>
        </w:rPr>
        <w:t xml:space="preserve">ох</w:t>
      </w:r>
      <w:r>
        <w:rPr>
          <w:iCs/>
          <w:sz w:val="28"/>
          <w:szCs w:val="28"/>
          <w:lang w:val="uk-UA"/>
        </w:rPr>
        <w:t xml:space="preserve"> у м. Ніжин</w:t>
      </w:r>
      <w:r>
        <w:rPr>
          <w:iCs/>
          <w:sz w:val="28"/>
          <w:szCs w:val="28"/>
          <w:lang w:val="uk-UA"/>
        </w:rPr>
        <w:t xml:space="preserve">і</w:t>
      </w:r>
      <w:r>
        <w:rPr>
          <w:iCs/>
          <w:sz w:val="28"/>
          <w:szCs w:val="28"/>
          <w:lang w:val="uk-UA"/>
        </w:rPr>
        <w:t xml:space="preserve">) загальною вартістю близько 12,5 млн гр</w:t>
      </w:r>
      <w:r>
        <w:rPr>
          <w:iCs/>
          <w:sz w:val="28"/>
          <w:szCs w:val="28"/>
          <w:lang w:val="uk-UA"/>
        </w:rPr>
        <w:t xml:space="preserve">ивень</w:t>
      </w:r>
      <w:r>
        <w:rPr>
          <w:iCs/>
          <w:sz w:val="28"/>
          <w:szCs w:val="28"/>
          <w:lang w:val="uk-UA"/>
        </w:rPr>
        <w:t xml:space="preserve">. </w:t>
      </w:r>
      <w:r>
        <w:rPr>
          <w:iCs/>
          <w:sz w:val="28"/>
          <w:szCs w:val="28"/>
          <w:lang w:val="uk-UA"/>
        </w:rPr>
        <w:t xml:space="preserve">П</w:t>
      </w:r>
      <w:r>
        <w:rPr>
          <w:iCs/>
          <w:sz w:val="28"/>
          <w:szCs w:val="28"/>
          <w:lang w:val="uk-UA"/>
        </w:rPr>
        <w:t xml:space="preserve">роведено комплекс робіт із теплоізоляції зовнішніх стін, а також заміну або ремонт зовнішніх дверей і облаштування тамбурів на вході. Загалом про</w:t>
      </w:r>
      <w:r>
        <w:rPr>
          <w:iCs/>
          <w:sz w:val="28"/>
          <w:szCs w:val="28"/>
          <w:lang w:val="uk-UA"/>
        </w:rPr>
        <w:t xml:space="preserve">є</w:t>
      </w:r>
      <w:r>
        <w:rPr>
          <w:iCs/>
          <w:sz w:val="28"/>
          <w:szCs w:val="28"/>
          <w:lang w:val="uk-UA"/>
        </w:rPr>
        <w:t xml:space="preserve">кти з термомодернізації завершено у </w:t>
      </w:r>
      <w:r>
        <w:rPr>
          <w:iCs/>
          <w:sz w:val="28"/>
          <w:szCs w:val="28"/>
          <w:lang w:val="uk-UA"/>
        </w:rPr>
        <w:t xml:space="preserve">17</w:t>
      </w:r>
      <w:r>
        <w:rPr>
          <w:iCs/>
          <w:sz w:val="28"/>
          <w:szCs w:val="28"/>
          <w:lang w:val="uk-UA"/>
        </w:rPr>
        <w:t xml:space="preserve"> ОСББ області</w:t>
      </w:r>
      <w:r>
        <w:rPr>
          <w:iCs/>
          <w:sz w:val="28"/>
          <w:szCs w:val="28"/>
          <w:lang w:val="uk-UA"/>
        </w:rPr>
        <w:t xml:space="preserve"> (у</w:t>
      </w:r>
      <w:r>
        <w:rPr>
          <w:iCs/>
          <w:sz w:val="28"/>
          <w:szCs w:val="28"/>
          <w:lang w:val="uk-UA"/>
        </w:rPr>
        <w:t xml:space="preserve"> будинках утеплено стіни, встановлено </w:t>
      </w:r>
      <w:r>
        <w:rPr>
          <w:iCs/>
          <w:sz w:val="28"/>
          <w:szCs w:val="28"/>
          <w:lang w:val="uk-UA"/>
        </w:rPr>
        <w:t xml:space="preserve">індивідуальн</w:t>
      </w:r>
      <w:r>
        <w:rPr>
          <w:iCs/>
          <w:sz w:val="28"/>
          <w:szCs w:val="28"/>
          <w:lang w:val="uk-UA"/>
        </w:rPr>
        <w:t xml:space="preserve">і</w:t>
      </w:r>
      <w:r>
        <w:rPr>
          <w:iCs/>
          <w:sz w:val="28"/>
          <w:szCs w:val="28"/>
          <w:lang w:val="uk-UA"/>
        </w:rPr>
        <w:t xml:space="preserve"> теплов</w:t>
      </w:r>
      <w:r>
        <w:rPr>
          <w:iCs/>
          <w:sz w:val="28"/>
          <w:szCs w:val="28"/>
          <w:lang w:val="uk-UA"/>
        </w:rPr>
        <w:t xml:space="preserve">і</w:t>
      </w:r>
      <w:r>
        <w:rPr>
          <w:iCs/>
          <w:sz w:val="28"/>
          <w:szCs w:val="28"/>
          <w:lang w:val="uk-UA"/>
        </w:rPr>
        <w:t xml:space="preserve"> пункт</w:t>
      </w:r>
      <w:r>
        <w:rPr>
          <w:iCs/>
          <w:sz w:val="28"/>
          <w:szCs w:val="28"/>
          <w:lang w:val="uk-UA"/>
        </w:rPr>
        <w:t xml:space="preserve">и</w:t>
      </w:r>
      <w:r>
        <w:rPr>
          <w:iCs/>
          <w:sz w:val="28"/>
          <w:szCs w:val="28"/>
          <w:lang w:val="uk-UA"/>
        </w:rPr>
        <w:t xml:space="preserve">, замінено вікна та двері в місцях загального користування, утеплено трубопроводи</w:t>
      </w:r>
      <w:r>
        <w:rPr>
          <w:iCs/>
          <w:sz w:val="28"/>
          <w:szCs w:val="28"/>
          <w:lang w:val="uk-UA"/>
        </w:rPr>
        <w:t xml:space="preserve">)</w:t>
      </w:r>
      <w:r>
        <w:rPr>
          <w:iCs/>
          <w:sz w:val="28"/>
          <w:szCs w:val="28"/>
          <w:lang w:val="uk-UA"/>
        </w:rPr>
        <w:t xml:space="preserve">. </w:t>
      </w:r>
      <w:r>
        <w:rPr>
          <w:i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Т</w:t>
      </w:r>
      <w:r>
        <w:rPr>
          <w:iCs/>
          <w:sz w:val="28"/>
          <w:szCs w:val="28"/>
          <w:lang w:val="uk-UA"/>
        </w:rPr>
        <w:t xml:space="preserve">имчасовою територіальною комісією з питань узгодження заборгованості з різниці в тарифах у 2025 році узгоджено обсяги заборгованості з різниці в тарифах, що утворилась за період з 01</w:t>
      </w:r>
      <w:r>
        <w:rPr>
          <w:iCs/>
          <w:sz w:val="28"/>
          <w:szCs w:val="28"/>
          <w:lang w:val="uk-UA"/>
        </w:rPr>
        <w:t xml:space="preserve">.10.</w:t>
      </w:r>
      <w:r>
        <w:rPr>
          <w:iCs/>
          <w:sz w:val="28"/>
          <w:szCs w:val="28"/>
          <w:lang w:val="uk-UA"/>
        </w:rPr>
        <w:t xml:space="preserve">2023</w:t>
      </w:r>
      <w:r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 xml:space="preserve">по 30</w:t>
      </w:r>
      <w:r>
        <w:rPr>
          <w:iCs/>
          <w:sz w:val="28"/>
          <w:szCs w:val="28"/>
          <w:lang w:val="uk-UA"/>
        </w:rPr>
        <w:t xml:space="preserve">.09.</w:t>
      </w:r>
      <w:r>
        <w:rPr>
          <w:iCs/>
          <w:sz w:val="28"/>
          <w:szCs w:val="28"/>
          <w:lang w:val="uk-UA"/>
        </w:rPr>
        <w:t xml:space="preserve">2025, підприємствам </w:t>
      </w:r>
      <w:r>
        <w:rPr>
          <w:iCs/>
          <w:sz w:val="28"/>
          <w:szCs w:val="28"/>
          <w:lang w:val="uk-UA"/>
        </w:rPr>
        <w:t xml:space="preserve">області, які надають послуги з теплопостачання населенню і виробляють теплову енергію з природного газу</w:t>
      </w:r>
      <w:r>
        <w:rPr>
          <w:iCs/>
          <w:sz w:val="28"/>
          <w:szCs w:val="28"/>
          <w:lang w:val="uk-UA"/>
        </w:rPr>
        <w:t xml:space="preserve">,</w:t>
      </w:r>
      <w:r>
        <w:rPr>
          <w:iCs/>
          <w:sz w:val="28"/>
          <w:szCs w:val="28"/>
          <w:lang w:val="uk-UA"/>
        </w:rPr>
        <w:t xml:space="preserve"> – 664,3 млн гривень.</w:t>
      </w:r>
      <w:r>
        <w:rPr>
          <w:i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розширення мережі пасажирських перевезень у 2025 році проведено конкурси з визначення автомобільних перевізників, за результатами яких Чернігівською обласною державною адміністрацією укладено 28 договорів на обслуговування 32 маршрутів.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Загалом на території Чернігівської області перевезення пасажирів здійснюється на 221 маршруті загального користування. З 62 перевізниками укладено 238 договорів про організацію пасажирських перевезень.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2025 року також укладено 29 додаткових угод щодо продовження строку дії договорів на період воєнного стану та один рік після його припинення або скасування.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здійснення контролю в частині додержання перевізниками законодавства 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сфері пасажирських перевезень, 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тому числі тих, хто здійснює пасажирські перевезення без дозвільних документів, Департаментом енергоефективності, транспорту, зв’язку та житлово-комунального господарства Чернігівської </w:t>
      </w:r>
      <w:r>
        <w:rPr>
          <w:sz w:val="28"/>
          <w:szCs w:val="28"/>
          <w:lang w:val="uk-UA"/>
        </w:rPr>
        <w:t xml:space="preserve">обласної державної адміністрації</w:t>
      </w:r>
      <w:r>
        <w:rPr>
          <w:sz w:val="28"/>
          <w:szCs w:val="28"/>
          <w:lang w:val="uk-UA"/>
        </w:rPr>
        <w:t xml:space="preserve"> спільно з відділом державного нагляду (контролю) у Чернігівській області та Управління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 Патрульної поліції Чернігівської області </w:t>
      </w:r>
      <w:r>
        <w:rPr>
          <w:sz w:val="28"/>
          <w:szCs w:val="28"/>
          <w:lang w:val="uk-UA"/>
        </w:rPr>
        <w:t xml:space="preserve">Департаменту патрульної поліції України в рамках «Місячника безпеки пасажирських перевезень» проводилися рейдові перевірки автоперевізників.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ротягом 2025 року </w:t>
      </w:r>
      <w:r>
        <w:rPr>
          <w:spacing w:val="-6"/>
          <w:sz w:val="28"/>
          <w:szCs w:val="28"/>
          <w:lang w:val="uk-UA"/>
        </w:rPr>
        <w:t xml:space="preserve">проведено 168 рейдових перевірок.</w:t>
      </w:r>
      <w:r>
        <w:rPr>
          <w:spacing w:val="-6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території області збільш</w:t>
      </w:r>
      <w:r>
        <w:rPr>
          <w:sz w:val="28"/>
          <w:szCs w:val="28"/>
          <w:lang w:val="uk-UA"/>
        </w:rPr>
        <w:t xml:space="preserve">илися</w:t>
      </w:r>
      <w:r>
        <w:rPr>
          <w:sz w:val="28"/>
          <w:szCs w:val="28"/>
          <w:lang w:val="uk-UA"/>
        </w:rPr>
        <w:t xml:space="preserve"> кількісні показники доступності автомобільного транспорту загального користування для осіб з інвалідністю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Станом на 01.01.2026 із загальної кількості пасажирського транспорту (480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одиниць) 185 одиниць, або 38,5%, пристосовані для перевезення осіб з інвалідністю.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Порівняно з груднем 2024 року загальна кількість пасажирського транспорту збільшилася на 62 одиниці (15 %), а кількість транспортних засобів, пристосованих для осіб з інвалідністю, – на 25 одиниць (16 %).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автостанціях області облаштован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пандуси, для виклику працівників встановлені кнопки виклику, позначені відповідними позначками, призначені відповідальні за обслуговування осіб з інвалідністю та передбачені окремі каси для продажу квитків цій категорії населення.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shd w:val="clear" w:color="auto" w:fill="ffffff"/>
          <w:lang w:val="en-US"/>
        </w:rPr>
        <w:t xml:space="preserve">X</w:t>
      </w:r>
      <w:r>
        <w:rPr>
          <w:b/>
          <w:sz w:val="28"/>
          <w:szCs w:val="28"/>
          <w:shd w:val="clear" w:color="auto" w:fill="ffffff"/>
          <w:lang w:val="en-US"/>
        </w:rPr>
        <w:t xml:space="preserve">V</w:t>
      </w:r>
      <w:r>
        <w:rPr>
          <w:b/>
          <w:sz w:val="28"/>
          <w:szCs w:val="28"/>
          <w:shd w:val="clear" w:color="auto" w:fill="ffffff"/>
          <w:lang w:val="uk-UA"/>
        </w:rPr>
        <w:t xml:space="preserve">І</w:t>
      </w:r>
      <w:r>
        <w:rPr>
          <w:b/>
          <w:bCs/>
          <w:sz w:val="28"/>
          <w:szCs w:val="28"/>
          <w:lang w:val="uk-UA"/>
        </w:rPr>
        <w:t xml:space="preserve">. </w:t>
      </w:r>
      <w:r>
        <w:rPr>
          <w:b/>
          <w:bCs/>
          <w:sz w:val="28"/>
          <w:szCs w:val="28"/>
          <w:lang w:val="uk-UA"/>
        </w:rPr>
        <w:t xml:space="preserve">ДОРОЖНЯ ІНФРАСТРУКТУРА</w:t>
      </w:r>
      <w:r>
        <w:rPr>
          <w:b/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Загальна протяжність мережі </w:t>
      </w:r>
      <w:r>
        <w:rPr>
          <w:bCs/>
          <w:sz w:val="28"/>
          <w:szCs w:val="28"/>
          <w:lang w:val="uk-UA"/>
        </w:rPr>
        <w:t xml:space="preserve">автомобільних </w:t>
      </w:r>
      <w:r>
        <w:rPr>
          <w:bCs/>
          <w:sz w:val="28"/>
          <w:szCs w:val="28"/>
          <w:lang w:val="uk-UA"/>
        </w:rPr>
        <w:t xml:space="preserve">доріг загального користування державного значення в області – 2 963,7 км (міжнародних – 346,5 км, національних – 426,4 км, регіональних – 878,4 км, територіальних – 1 312,4 км).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Мережа автомобільних доріг загального користування місцевого значення – 4 760,2 км (обласні – 3 131,2 км, районні –1 629 км). 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На проведення ремонтів та утримання мережі автомобільних доріг </w:t>
      </w:r>
      <w:r>
        <w:rPr>
          <w:bCs/>
          <w:sz w:val="28"/>
          <w:szCs w:val="28"/>
          <w:lang w:val="uk-UA"/>
        </w:rPr>
        <w:t xml:space="preserve">загального користування місцевого значення </w:t>
      </w:r>
      <w:r>
        <w:rPr>
          <w:bCs/>
          <w:sz w:val="28"/>
          <w:szCs w:val="28"/>
          <w:lang w:val="uk-UA"/>
        </w:rPr>
        <w:t xml:space="preserve">у 2025 році </w:t>
      </w:r>
      <w:r>
        <w:rPr>
          <w:bCs/>
          <w:sz w:val="28"/>
          <w:szCs w:val="28"/>
          <w:lang w:val="uk-UA"/>
        </w:rPr>
        <w:t xml:space="preserve">було </w:t>
      </w:r>
      <w:r>
        <w:rPr>
          <w:bCs/>
          <w:sz w:val="28"/>
          <w:szCs w:val="28"/>
          <w:lang w:val="uk-UA"/>
        </w:rPr>
        <w:t xml:space="preserve">передбачено 271,487 млн грн, у тому числі кошти співфінансування територіальних громад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13,679 млн гр</w:t>
      </w:r>
      <w:r>
        <w:rPr>
          <w:bCs/>
          <w:sz w:val="28"/>
          <w:szCs w:val="28"/>
          <w:lang w:val="uk-UA"/>
        </w:rPr>
        <w:t xml:space="preserve">ивень</w:t>
      </w:r>
      <w:r>
        <w:rPr>
          <w:bCs/>
          <w:sz w:val="28"/>
          <w:szCs w:val="28"/>
          <w:lang w:val="uk-UA"/>
        </w:rPr>
        <w:t xml:space="preserve">.</w:t>
      </w:r>
      <w:r>
        <w:rPr>
          <w:bCs/>
          <w:sz w:val="28"/>
          <w:szCs w:val="28"/>
          <w:lang w:val="uk-UA"/>
        </w:rPr>
      </w:r>
    </w:p>
    <w:p>
      <w:pPr>
        <w:pBdr/>
        <w:tabs>
          <w:tab w:val="num" w:leader="none" w:pos="720"/>
        </w:tabs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Протягом 2025 року ДП «Агентство місцевих доріг Чернігівської області» освоєно 247,949 млн грн, що становить 91,3 % від запланованого обсягу.</w:t>
      </w:r>
      <w:r>
        <w:rPr>
          <w:bCs/>
          <w:sz w:val="28"/>
          <w:szCs w:val="28"/>
          <w:lang w:val="uk-UA"/>
        </w:rPr>
        <w:t xml:space="preserve"> Зокрема, спрямовано</w:t>
      </w:r>
      <w:r>
        <w:rPr>
          <w:bCs/>
          <w:sz w:val="28"/>
          <w:szCs w:val="28"/>
          <w:lang w:val="uk-UA"/>
        </w:rPr>
        <w:t xml:space="preserve">:</w:t>
      </w:r>
      <w:r>
        <w:rPr>
          <w:bCs/>
          <w:sz w:val="28"/>
          <w:szCs w:val="28"/>
          <w:lang w:val="uk-UA"/>
        </w:rPr>
        <w:t xml:space="preserve"> на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ліквідацію вибоїн покриття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56,4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улаштування вирівнювальних шарів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171,68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роботи із земляного полотна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4,29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заходи з безпеки дорожнього руху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1,8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ремонт та утримання штучних споруд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3,19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зимове утримання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6,37 млн грн;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озеленення </w:t>
      </w:r>
      <w:r>
        <w:rPr>
          <w:bCs/>
          <w:sz w:val="28"/>
          <w:szCs w:val="28"/>
          <w:lang w:val="uk-UA"/>
        </w:rPr>
        <w:t xml:space="preserve">–</w:t>
      </w:r>
      <w:r>
        <w:rPr>
          <w:bCs/>
          <w:sz w:val="28"/>
          <w:szCs w:val="28"/>
          <w:lang w:val="uk-UA"/>
        </w:rPr>
        <w:t xml:space="preserve"> 2,19 млн гр</w:t>
      </w:r>
      <w:r>
        <w:rPr>
          <w:bCs/>
          <w:sz w:val="28"/>
          <w:szCs w:val="28"/>
          <w:lang w:val="uk-UA"/>
        </w:rPr>
        <w:t xml:space="preserve">ивень.</w:t>
      </w:r>
      <w:r>
        <w:rPr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Крім того, виконано роботи з облаштування автомобільної дороги О251509 Прилуки – Сергіївка – Білошапки – Линовиця (улаштування тротуарів, труб, бортового каменю) на суму 2 млн гр</w:t>
      </w:r>
      <w:r>
        <w:rPr>
          <w:bCs/>
          <w:sz w:val="28"/>
          <w:szCs w:val="28"/>
          <w:lang w:val="uk-UA"/>
        </w:rPr>
        <w:t xml:space="preserve">ивень.</w:t>
      </w:r>
      <w:r>
        <w:rPr>
          <w:bCs/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Службою відновлення та розвитку інфраструктури у Черн</w:t>
      </w:r>
      <w:r>
        <w:rPr>
          <w:sz w:val="28"/>
          <w:szCs w:val="28"/>
          <w:lang w:val="uk-UA"/>
        </w:rPr>
        <w:t xml:space="preserve">ігівській області використано 1,29 млрд грн, зокрема забезпечено будівництво однієї штучної споруди та капітальний ремонт 4 штучних споруд на суму 428 1 млн грн, аварійний ремонт доріг загального користування державного значення на суму 863,64 млн гривень.</w:t>
      </w:r>
      <w:r>
        <w:rPr>
          <w:sz w:val="28"/>
          <w:szCs w:val="28"/>
          <w:lang w:val="uk-UA"/>
        </w:rPr>
      </w:r>
    </w:p>
    <w:p>
      <w:pPr>
        <w:pBdr/>
        <w:spacing w:after="120"/>
        <w:ind w:firstLine="567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X</w:t>
      </w:r>
      <w:r>
        <w:rPr>
          <w:b/>
          <w:bCs/>
          <w:sz w:val="28"/>
          <w:szCs w:val="28"/>
          <w:lang w:val="en-US"/>
        </w:rPr>
        <w:t xml:space="preserve">V</w:t>
      </w:r>
      <w:r>
        <w:rPr>
          <w:b/>
          <w:bCs/>
          <w:sz w:val="28"/>
          <w:szCs w:val="28"/>
          <w:lang w:val="uk-UA"/>
        </w:rPr>
        <w:t xml:space="preserve">ІІ</w:t>
      </w:r>
      <w:r>
        <w:rPr>
          <w:b/>
          <w:bCs/>
          <w:sz w:val="28"/>
          <w:szCs w:val="28"/>
          <w:lang w:val="uk-UA"/>
        </w:rPr>
        <w:t xml:space="preserve">. ЕКОЛОГІЯ ТА ПРИРОДНІ РЕСУРСИ</w:t>
      </w:r>
      <w:r>
        <w:rPr>
          <w:b/>
          <w:bCs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У 2025 році природоохоронна діяльність </w:t>
      </w:r>
      <w:r>
        <w:rPr>
          <w:color w:val="050505"/>
          <w:sz w:val="28"/>
          <w:szCs w:val="28"/>
          <w:lang w:val="uk-UA"/>
        </w:rPr>
        <w:t xml:space="preserve">в</w:t>
      </w:r>
      <w:r>
        <w:rPr>
          <w:color w:val="050505"/>
          <w:sz w:val="28"/>
          <w:szCs w:val="28"/>
          <w:lang w:val="uk-UA"/>
        </w:rPr>
        <w:t xml:space="preserve"> області була </w:t>
      </w:r>
      <w:r>
        <w:rPr>
          <w:color w:val="050505"/>
          <w:sz w:val="28"/>
          <w:szCs w:val="28"/>
          <w:lang w:val="uk-UA"/>
        </w:rPr>
        <w:t xml:space="preserve">спрямована на зменшення екологічних загроз, збереження природних комплексів, раціональне використання ресурсів і формування екологічної свідомості населення. Заходи реалізовувалися в межах регіональних програм та екологічних інформаційно-виховних кампаній.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Програму охорони навколишнього природного середовища Чернігівської області на 2021–2027 роки виконано на 82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%: реалізовано 50 заходів на суму 10,28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 млн грн, ще 11 заходів не виконано з об’єктивних причин.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 метою запобігання забрудненню довкілля вилучено та утилізовано 21,1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т</w:t>
      </w:r>
      <w:r>
        <w:rPr>
          <w:color w:val="050505"/>
          <w:sz w:val="28"/>
          <w:szCs w:val="28"/>
          <w:lang w:val="uk-UA"/>
        </w:rPr>
        <w:t xml:space="preserve">онни</w:t>
      </w:r>
      <w:r>
        <w:rPr>
          <w:color w:val="050505"/>
          <w:sz w:val="28"/>
          <w:szCs w:val="28"/>
          <w:lang w:val="uk-UA"/>
        </w:rPr>
        <w:t xml:space="preserve"> непридатних хімічних засобів захисту рослин у </w:t>
      </w:r>
      <w:r>
        <w:rPr>
          <w:color w:val="050505"/>
          <w:sz w:val="28"/>
          <w:szCs w:val="28"/>
          <w:lang w:val="uk-UA"/>
        </w:rPr>
        <w:t xml:space="preserve">4</w:t>
      </w:r>
      <w:r>
        <w:rPr>
          <w:color w:val="050505"/>
          <w:sz w:val="28"/>
          <w:szCs w:val="28"/>
          <w:lang w:val="uk-UA"/>
        </w:rPr>
        <w:t xml:space="preserve"> громадах, вивезено 151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м³ в</w:t>
      </w:r>
      <w:r>
        <w:rPr>
          <w:color w:val="050505"/>
          <w:sz w:val="28"/>
          <w:szCs w:val="28"/>
          <w:lang w:val="uk-UA"/>
        </w:rPr>
        <w:t xml:space="preserve">ідходів, придбано 228 контейнерів для роздільного збору побутових відходів. Проведено роботи з оновлення та реконструкції каналізаційних мереж і очисних споруд у низці громад, а також виготовлено проєктну документацію для нового будівництва очисних споруд.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Здійснено 34 дослідження поверхневих вод річок у межах м. Чернігова та 432 дослідження атмосферного повітря у </w:t>
      </w:r>
      <w:r>
        <w:rPr>
          <w:color w:val="050505"/>
          <w:sz w:val="28"/>
          <w:szCs w:val="28"/>
          <w:lang w:val="uk-UA"/>
        </w:rPr>
        <w:t xml:space="preserve">4 </w:t>
      </w:r>
      <w:r>
        <w:rPr>
          <w:color w:val="050505"/>
          <w:sz w:val="28"/>
          <w:szCs w:val="28"/>
          <w:lang w:val="uk-UA"/>
        </w:rPr>
        <w:t xml:space="preserve">містах області. Результати засвідчили відсутність перевищень гранично допустимих концентрацій забруднюючих речовин. Проведено дозиметричну паспортизацію 23 населених пунктів, відібрано 230 зразків ґрунту.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Упродовж </w:t>
      </w:r>
      <w:r>
        <w:rPr>
          <w:color w:val="050505"/>
          <w:sz w:val="28"/>
          <w:szCs w:val="28"/>
          <w:lang w:val="uk-UA"/>
        </w:rPr>
        <w:t xml:space="preserve">року розг</w:t>
      </w:r>
      <w:r>
        <w:rPr>
          <w:color w:val="050505"/>
          <w:sz w:val="28"/>
          <w:szCs w:val="28"/>
          <w:lang w:val="uk-UA"/>
        </w:rPr>
        <w:t xml:space="preserve">лянуто 55 заяв і видано 54 дозволи на викиди забруднюючих речовин в атмосферне повітря. Видано 29 висновків з оцінки впливу на довкілля, проведено консультації в межах стратегічної екологічної оцінки документів розвитку громад і містобудівної документації.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Природно-заповідний фонд області налічує 685 об’єктів площею понад 263 тис. га. У 2025 році створено 3 нові об’єкти ПЗФ, а його площу збільшено на 99,72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га. Проведено лісопатологічне обстеження РЛП «Ялівщина» та встановлено інформаційні щити для охорони заповідних територій.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Розглянуто 46 проєктів землеустрою щодо організації та встановлення меж територій і об’єктів ПЗФ, з яких 41 погоджено, 5 направлено на доопрацювання. У межах Програми розроблено 28 проєктів для 16 громад області</w:t>
      </w:r>
      <w:r>
        <w:rPr>
          <w:sz w:val="28"/>
          <w:szCs w:val="20"/>
          <w:lang w:val="uk-UA"/>
        </w:rPr>
        <w:t xml:space="preserve"> </w:t>
      </w:r>
      <w:r>
        <w:rPr>
          <w:sz w:val="28"/>
          <w:szCs w:val="20"/>
          <w:lang w:val="uk-UA"/>
        </w:rPr>
        <w:t xml:space="preserve">(обласний фонд </w:t>
      </w:r>
      <w:r>
        <w:rPr>
          <w:sz w:val="28"/>
          <w:szCs w:val="20"/>
          <w:lang w:val="uk-UA"/>
        </w:rPr>
        <w:t xml:space="preserve">охорони навколишнього природного середовища </w:t>
      </w:r>
      <w:r>
        <w:rPr>
          <w:sz w:val="28"/>
          <w:szCs w:val="20"/>
          <w:lang w:val="uk-UA"/>
        </w:rPr>
        <w:t xml:space="preserve">– 1</w:t>
      </w:r>
      <w:r>
        <w:rPr>
          <w:sz w:val="28"/>
          <w:szCs w:val="20"/>
          <w:lang w:val="uk-UA"/>
        </w:rPr>
        <w:t xml:space="preserve">,</w:t>
      </w:r>
      <w:r>
        <w:rPr>
          <w:sz w:val="28"/>
          <w:szCs w:val="20"/>
          <w:lang w:val="uk-UA"/>
        </w:rPr>
        <w:t xml:space="preserve">34</w:t>
      </w:r>
      <w:r>
        <w:rPr>
          <w:sz w:val="28"/>
          <w:szCs w:val="20"/>
          <w:lang w:val="uk-UA"/>
        </w:rPr>
        <w:t xml:space="preserve"> млн </w:t>
      </w:r>
      <w:r>
        <w:rPr>
          <w:sz w:val="28"/>
          <w:szCs w:val="20"/>
          <w:lang w:val="uk-UA"/>
        </w:rPr>
        <w:t xml:space="preserve">грн</w:t>
      </w:r>
      <w:r>
        <w:rPr>
          <w:sz w:val="28"/>
          <w:szCs w:val="20"/>
          <w:lang w:val="uk-UA"/>
        </w:rPr>
        <w:t xml:space="preserve">,</w:t>
      </w:r>
      <w:r>
        <w:rPr>
          <w:sz w:val="28"/>
          <w:szCs w:val="20"/>
          <w:lang w:val="uk-UA"/>
        </w:rPr>
        <w:t xml:space="preserve"> місцеві </w:t>
      </w:r>
      <w:r>
        <w:rPr>
          <w:sz w:val="28"/>
          <w:szCs w:val="20"/>
          <w:lang w:val="uk-UA"/>
        </w:rPr>
        <w:t xml:space="preserve">бюджети громад – 763,</w:t>
      </w:r>
      <w:r>
        <w:rPr>
          <w:sz w:val="28"/>
          <w:szCs w:val="20"/>
          <w:lang w:val="uk-UA"/>
        </w:rPr>
        <w:t xml:space="preserve">1</w:t>
      </w:r>
      <w:r>
        <w:rPr>
          <w:sz w:val="28"/>
          <w:szCs w:val="20"/>
          <w:lang w:val="uk-UA"/>
        </w:rPr>
        <w:t xml:space="preserve"> тис. гр</w:t>
      </w:r>
      <w:r>
        <w:rPr>
          <w:sz w:val="28"/>
          <w:szCs w:val="20"/>
          <w:lang w:val="uk-UA"/>
        </w:rPr>
        <w:t xml:space="preserve">н</w:t>
      </w:r>
      <w:r>
        <w:rPr>
          <w:sz w:val="28"/>
          <w:szCs w:val="28"/>
          <w:lang w:val="uk-UA"/>
        </w:rPr>
        <w:t xml:space="preserve">)</w:t>
      </w:r>
      <w:r>
        <w:rPr>
          <w:sz w:val="28"/>
          <w:szCs w:val="28"/>
          <w:lang w:val="uk-UA"/>
        </w:rPr>
        <w:t xml:space="preserve">,</w:t>
      </w:r>
      <w:r>
        <w:rPr>
          <w:color w:val="050505"/>
          <w:sz w:val="28"/>
          <w:szCs w:val="28"/>
          <w:lang w:val="uk-UA"/>
        </w:rPr>
        <w:t xml:space="preserve"> ще 5 громад забезпечили розроблення проєктів для своїх заповідних територій за кошти місцевих бюджетів.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Значна увага приділялася екологічній освіті населення. Проведено обласний екологічний конкурс «Одна планета – одне майбутнє», організовано флешмоби, конкурси, брифінги, екологічні акції та масштабну толоку до Всесвітнього дня прибирання. У заходах</w:t>
      </w:r>
      <w:r>
        <w:rPr>
          <w:color w:val="050505"/>
          <w:sz w:val="28"/>
          <w:szCs w:val="28"/>
          <w:lang w:val="uk-UA"/>
        </w:rPr>
        <w:t xml:space="preserve"> взяли участь понад 27 тис. мешканців області</w:t>
      </w:r>
      <w:r>
        <w:rPr>
          <w:color w:val="050505"/>
          <w:sz w:val="28"/>
          <w:szCs w:val="28"/>
          <w:lang w:val="uk-UA"/>
        </w:rPr>
        <w:t xml:space="preserve">,</w:t>
      </w:r>
      <w:r>
        <w:rPr>
          <w:rFonts w:ascii="Calibri" w:hAnsi="Calibri" w:eastAsia="Calibri"/>
          <w:sz w:val="28"/>
          <w:szCs w:val="28"/>
          <w:lang w:eastAsia="en-US"/>
        </w:rPr>
        <w:t xml:space="preserve"> </w:t>
      </w:r>
      <w:r>
        <w:rPr>
          <w:color w:val="050505"/>
          <w:sz w:val="28"/>
          <w:szCs w:val="28"/>
        </w:rPr>
        <w:t xml:space="preserve">які спільно прибрали майже 1,5 тис</w:t>
      </w:r>
      <w:r>
        <w:rPr>
          <w:color w:val="050505"/>
          <w:sz w:val="28"/>
          <w:szCs w:val="28"/>
          <w:lang w:val="uk-UA"/>
        </w:rPr>
        <w:t xml:space="preserve">.</w:t>
      </w:r>
      <w:r>
        <w:rPr>
          <w:color w:val="050505"/>
          <w:sz w:val="28"/>
          <w:szCs w:val="28"/>
        </w:rPr>
        <w:t xml:space="preserve"> локацій</w:t>
      </w:r>
      <w:r>
        <w:rPr>
          <w:color w:val="050505"/>
          <w:sz w:val="28"/>
          <w:szCs w:val="28"/>
          <w:lang w:val="uk-UA"/>
        </w:rPr>
        <w:t xml:space="preserve">, зібрано близько 87 тонн відходів.</w:t>
      </w:r>
      <w:r>
        <w:rPr>
          <w:color w:val="050505"/>
          <w:sz w:val="28"/>
          <w:szCs w:val="28"/>
          <w:lang w:val="uk-UA"/>
        </w:rPr>
      </w:r>
    </w:p>
    <w:p>
      <w:pPr>
        <w:pStyle w:val="832"/>
        <w:pBdr/>
        <w:spacing w:after="120"/>
        <w:ind w:firstLine="567"/>
        <w:jc w:val="both"/>
        <w:rPr>
          <w:b/>
          <w:szCs w:val="28"/>
          <w:shd w:val="clear" w:color="auto" w:fill="ffffff"/>
          <w:lang w:val="uk-UA"/>
        </w:rPr>
      </w:pPr>
      <w:r>
        <w:rPr>
          <w:b/>
          <w:szCs w:val="28"/>
          <w:shd w:val="clear" w:color="auto" w:fill="ffffff"/>
          <w:lang w:val="en-US"/>
        </w:rPr>
        <w:t xml:space="preserve">X</w:t>
      </w:r>
      <w:r>
        <w:rPr>
          <w:b/>
          <w:szCs w:val="28"/>
          <w:shd w:val="clear" w:color="auto" w:fill="ffffff"/>
          <w:lang w:val="en-US"/>
        </w:rPr>
        <w:t xml:space="preserve">V</w:t>
      </w:r>
      <w:r>
        <w:rPr>
          <w:b/>
          <w:szCs w:val="28"/>
          <w:shd w:val="clear" w:color="auto" w:fill="ffffff"/>
          <w:lang w:val="uk-UA"/>
        </w:rPr>
        <w:t xml:space="preserve">І</w:t>
      </w:r>
      <w:r>
        <w:rPr>
          <w:b/>
          <w:szCs w:val="28"/>
          <w:shd w:val="clear" w:color="auto" w:fill="ffffff"/>
          <w:lang w:val="uk-UA"/>
        </w:rPr>
        <w:t xml:space="preserve">ІІ</w:t>
      </w:r>
      <w:r>
        <w:rPr>
          <w:b/>
          <w:szCs w:val="28"/>
          <w:shd w:val="clear" w:color="auto" w:fill="ffffff"/>
          <w:lang w:val="uk-UA"/>
        </w:rPr>
        <w:t xml:space="preserve">. РУЙНУВАННЯ ТА ВІДНОВЛЕННЯ</w:t>
      </w:r>
      <w:r>
        <w:rPr>
          <w:b/>
          <w:szCs w:val="28"/>
          <w:shd w:val="clear" w:color="auto" w:fill="ffffff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Об’єкти житлового фонду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Через військову агресію р</w:t>
      </w:r>
      <w:r>
        <w:rPr>
          <w:sz w:val="28"/>
          <w:szCs w:val="28"/>
          <w:lang w:val="uk-UA"/>
        </w:rPr>
        <w:t xml:space="preserve">осійської федерації</w:t>
      </w:r>
      <w:r>
        <w:rPr>
          <w:sz w:val="28"/>
          <w:szCs w:val="28"/>
          <w:lang w:val="uk-UA"/>
        </w:rPr>
        <w:t xml:space="preserve"> проти України станом на 01.01.2025 на території області </w:t>
      </w:r>
      <w:r>
        <w:rPr>
          <w:sz w:val="28"/>
          <w:szCs w:val="28"/>
          <w:lang w:val="uk-UA"/>
        </w:rPr>
        <w:t xml:space="preserve">було </w:t>
      </w:r>
      <w:r>
        <w:rPr>
          <w:sz w:val="28"/>
          <w:szCs w:val="28"/>
          <w:lang w:val="uk-UA"/>
        </w:rPr>
        <w:t xml:space="preserve">пошкоджено / зруйновано 13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661 об’єкт житлового фонду (12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373 приватн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та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288 багатоквартирних будинків), з них більше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745 зруйновано повністю. Через постійні обстріли прикордонних громад кількість пошкодженого житла зростає.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Обласна державна адміністрація </w:t>
      </w:r>
      <w:r>
        <w:rPr>
          <w:sz w:val="28"/>
          <w:szCs w:val="28"/>
          <w:lang w:val="uk-UA"/>
        </w:rPr>
        <w:t xml:space="preserve">у звітному періоді </w:t>
      </w:r>
      <w:r>
        <w:rPr>
          <w:sz w:val="28"/>
          <w:szCs w:val="28"/>
          <w:lang w:val="uk-UA"/>
        </w:rPr>
        <w:t xml:space="preserve">доклада</w:t>
      </w:r>
      <w:r>
        <w:rPr>
          <w:sz w:val="28"/>
          <w:szCs w:val="28"/>
          <w:lang w:val="uk-UA"/>
        </w:rPr>
        <w:t xml:space="preserve">ла</w:t>
      </w:r>
      <w:r>
        <w:rPr>
          <w:sz w:val="28"/>
          <w:szCs w:val="28"/>
          <w:lang w:val="uk-UA"/>
        </w:rPr>
        <w:t xml:space="preserve"> максимальних зусиль до відновлення пошкоджених / зруйнованих</w:t>
      </w:r>
      <w:r>
        <w:rPr>
          <w:sz w:val="28"/>
          <w:szCs w:val="28"/>
          <w:lang w:val="uk-UA"/>
        </w:rPr>
        <w:t xml:space="preserve"> помешкань, продовж</w:t>
      </w:r>
      <w:r>
        <w:rPr>
          <w:sz w:val="28"/>
          <w:szCs w:val="28"/>
          <w:lang w:val="uk-UA"/>
        </w:rPr>
        <w:t xml:space="preserve">илася </w:t>
      </w:r>
      <w:r>
        <w:rPr>
          <w:sz w:val="28"/>
          <w:szCs w:val="28"/>
          <w:lang w:val="uk-UA"/>
        </w:rPr>
        <w:t xml:space="preserve">робота із залучення міжнародних партнерів, громадських благодійних організацій, фондів для надання допомоги у відновленні житлового фонду.</w:t>
      </w:r>
      <w:r>
        <w:rPr>
          <w:sz w:val="28"/>
          <w:szCs w:val="28"/>
          <w:lang w:val="uk-UA"/>
        </w:rPr>
      </w:r>
    </w:p>
    <w:p>
      <w:pPr>
        <w:pBdr/>
        <w:shd w:val="clear" w:color="auto" w:fill="ffffff" w:themeFill="background1"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</w:t>
      </w:r>
      <w:r>
        <w:rPr>
          <w:sz w:val="28"/>
          <w:szCs w:val="28"/>
          <w:lang w:val="uk-UA"/>
        </w:rPr>
        <w:t xml:space="preserve">відновлено 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792 житлов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будинки (5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634 приватн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та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158 багатоквартирних), понад 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200</w:t>
      </w:r>
      <w:r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процесі відновлення.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межах державної програми «єВідновлення» </w:t>
      </w: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області </w:t>
      </w:r>
      <w:r>
        <w:rPr>
          <w:sz w:val="28"/>
          <w:szCs w:val="28"/>
          <w:lang w:val="uk-UA"/>
        </w:rPr>
        <w:t xml:space="preserve">створено 47 комісій з розгляду заяв на отримання компенсації за </w:t>
      </w:r>
      <w:r>
        <w:rPr>
          <w:sz w:val="28"/>
          <w:szCs w:val="28"/>
          <w:lang w:val="uk-UA"/>
        </w:rPr>
        <w:t xml:space="preserve">житло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пошкоджене </w:t>
      </w:r>
      <w:r>
        <w:rPr>
          <w:sz w:val="28"/>
          <w:szCs w:val="28"/>
          <w:lang w:val="uk-UA"/>
        </w:rPr>
        <w:t xml:space="preserve">чи</w:t>
      </w:r>
      <w:r>
        <w:rPr>
          <w:sz w:val="28"/>
          <w:szCs w:val="28"/>
          <w:lang w:val="uk-UA"/>
        </w:rPr>
        <w:t xml:space="preserve"> знищене внаслідок збройної агресії </w:t>
      </w:r>
      <w:r>
        <w:rPr>
          <w:sz w:val="28"/>
          <w:szCs w:val="28"/>
          <w:lang w:val="uk-UA"/>
        </w:rPr>
        <w:t xml:space="preserve">російської федерації</w:t>
      </w:r>
      <w:r>
        <w:rPr>
          <w:sz w:val="28"/>
          <w:szCs w:val="28"/>
          <w:lang w:val="uk-UA"/>
        </w:rPr>
        <w:t xml:space="preserve"> проти України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від громадян на отримання компенсації для проведення відновлювальних робіт за програмою «єВідновлення» </w:t>
      </w:r>
      <w:r>
        <w:rPr>
          <w:sz w:val="28"/>
          <w:szCs w:val="28"/>
          <w:lang w:val="uk-UA"/>
        </w:rPr>
        <w:t xml:space="preserve">було </w:t>
      </w:r>
      <w:r>
        <w:rPr>
          <w:sz w:val="28"/>
          <w:szCs w:val="28"/>
          <w:lang w:val="uk-UA"/>
        </w:rPr>
        <w:t xml:space="preserve">подано 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599</w:t>
      </w:r>
      <w:r>
        <w:rPr>
          <w:sz w:val="28"/>
          <w:szCs w:val="28"/>
          <w:lang w:val="uk-UA"/>
        </w:rPr>
        <w:t xml:space="preserve"> заяв та нараховано компенсацію за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838</w:t>
      </w:r>
      <w:r>
        <w:rPr>
          <w:sz w:val="28"/>
          <w:szCs w:val="28"/>
          <w:lang w:val="uk-UA"/>
        </w:rPr>
        <w:t xml:space="preserve"> заявами. Загалом за пошкоджене майно нараховано </w:t>
      </w:r>
      <w:r>
        <w:rPr>
          <w:sz w:val="28"/>
          <w:szCs w:val="28"/>
          <w:lang w:val="uk-UA"/>
        </w:rPr>
        <w:t xml:space="preserve">408</w:t>
      </w:r>
      <w:r>
        <w:rPr>
          <w:sz w:val="28"/>
          <w:szCs w:val="28"/>
          <w:lang w:val="uk-UA"/>
        </w:rPr>
        <w:t xml:space="preserve"> млн гривень.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Загальна кількість заяв за зруйноване житло – 1 </w:t>
      </w:r>
      <w:r>
        <w:rPr>
          <w:sz w:val="28"/>
          <w:szCs w:val="28"/>
          <w:lang w:val="uk-UA"/>
        </w:rPr>
        <w:t xml:space="preserve">802</w:t>
      </w:r>
      <w:r>
        <w:rPr>
          <w:sz w:val="28"/>
          <w:szCs w:val="28"/>
          <w:lang w:val="uk-UA"/>
        </w:rPr>
        <w:t xml:space="preserve"> (житлові сертифікати), з них сформовано сертифікатів – </w:t>
      </w:r>
      <w:r>
        <w:rPr>
          <w:sz w:val="28"/>
          <w:szCs w:val="28"/>
          <w:lang w:val="uk-UA"/>
        </w:rPr>
        <w:t xml:space="preserve">1235</w:t>
      </w:r>
      <w:r>
        <w:rPr>
          <w:sz w:val="28"/>
          <w:szCs w:val="28"/>
          <w:lang w:val="uk-UA"/>
        </w:rPr>
        <w:t xml:space="preserve"> (на суму 1,</w:t>
      </w:r>
      <w:r>
        <w:rPr>
          <w:sz w:val="28"/>
          <w:szCs w:val="28"/>
          <w:lang w:val="uk-UA"/>
        </w:rPr>
        <w:t xml:space="preserve">79</w:t>
      </w:r>
      <w:r>
        <w:rPr>
          <w:sz w:val="28"/>
          <w:szCs w:val="28"/>
          <w:lang w:val="uk-UA"/>
        </w:rPr>
        <w:t xml:space="preserve"> млрд грн). Загальна кількість заяв за зруйноване житло – </w:t>
      </w:r>
      <w:r>
        <w:rPr>
          <w:sz w:val="28"/>
          <w:szCs w:val="28"/>
          <w:lang w:val="uk-UA"/>
        </w:rPr>
        <w:t xml:space="preserve">306</w:t>
      </w:r>
      <w:r>
        <w:rPr>
          <w:sz w:val="28"/>
          <w:szCs w:val="28"/>
          <w:lang w:val="uk-UA"/>
        </w:rPr>
        <w:t xml:space="preserve"> (грошова компенсація), з них сформовано грошову компенсацію – </w:t>
      </w:r>
      <w:r>
        <w:rPr>
          <w:sz w:val="28"/>
          <w:szCs w:val="28"/>
          <w:lang w:val="uk-UA"/>
        </w:rPr>
        <w:t xml:space="preserve">201</w:t>
      </w:r>
      <w:r>
        <w:rPr>
          <w:sz w:val="28"/>
          <w:szCs w:val="28"/>
          <w:lang w:val="uk-UA"/>
        </w:rPr>
        <w:t xml:space="preserve"> (на загальну суму </w:t>
      </w:r>
      <w:r>
        <w:rPr>
          <w:sz w:val="28"/>
          <w:szCs w:val="28"/>
          <w:lang w:val="uk-UA"/>
        </w:rPr>
        <w:t xml:space="preserve">405</w:t>
      </w:r>
      <w:r>
        <w:rPr>
          <w:sz w:val="28"/>
          <w:szCs w:val="28"/>
          <w:lang w:val="uk-UA"/>
        </w:rPr>
        <w:t xml:space="preserve"> млн грн).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Об’єкти соціальної інфраструктури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Значних руйнувань зазнали об’єкти соціальної інфраструктури – </w:t>
      </w:r>
      <w:r>
        <w:rPr>
          <w:sz w:val="28"/>
          <w:szCs w:val="28"/>
          <w:lang w:val="uk-UA"/>
        </w:rPr>
        <w:br/>
        <w:t xml:space="preserve">181 заклад освіти, 83 об’єкти закладів охорони здоров’я, 6 закладів соціального захисту, 127 закладів у сфері культури та 15 – спорту.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</w:t>
      </w:r>
      <w:r>
        <w:rPr>
          <w:sz w:val="28"/>
          <w:szCs w:val="28"/>
          <w:lang w:val="uk-UA"/>
        </w:rPr>
        <w:t xml:space="preserve">ні</w:t>
      </w:r>
      <w:r>
        <w:rPr>
          <w:sz w:val="28"/>
          <w:szCs w:val="28"/>
          <w:lang w:val="uk-UA"/>
        </w:rPr>
        <w:t xml:space="preserve"> джерела відновлення </w:t>
      </w:r>
      <w:r>
        <w:rPr>
          <w:sz w:val="28"/>
          <w:szCs w:val="28"/>
          <w:lang w:val="uk-UA"/>
        </w:rPr>
        <w:t xml:space="preserve">–</w:t>
      </w:r>
      <w:r>
        <w:rPr>
          <w:sz w:val="28"/>
          <w:szCs w:val="28"/>
          <w:lang w:val="uk-UA"/>
        </w:rPr>
        <w:t xml:space="preserve"> кошти державного та місцевих бюджетів, допомога міжнародних та вітчизняних організацій, партнерів з розвитку (донорів).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01.01.2026 відновлено 180 об’єктів соціальної інфраструктури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90 закладів освіти (49 шкіл, 36 дитячих садочків, </w:t>
      </w:r>
      <w:r>
        <w:rPr>
          <w:sz w:val="28"/>
          <w:szCs w:val="28"/>
          <w:lang w:val="uk-UA"/>
        </w:rPr>
        <w:t xml:space="preserve">один</w:t>
      </w:r>
      <w:r>
        <w:rPr>
          <w:sz w:val="28"/>
          <w:szCs w:val="28"/>
          <w:lang w:val="uk-UA"/>
        </w:rPr>
        <w:t xml:space="preserve"> позашкільний навчальний заклад,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</w:t>
      </w:r>
      <w:r>
        <w:rPr>
          <w:sz w:val="28"/>
          <w:szCs w:val="28"/>
          <w:lang w:val="uk-UA"/>
        </w:rPr>
        <w:t xml:space="preserve"> заклад вищої, </w:t>
      </w:r>
      <w:r>
        <w:rPr>
          <w:sz w:val="28"/>
          <w:szCs w:val="28"/>
          <w:lang w:val="uk-UA"/>
        </w:rPr>
        <w:t xml:space="preserve">один</w:t>
      </w:r>
      <w:r>
        <w:rPr>
          <w:sz w:val="28"/>
          <w:szCs w:val="28"/>
          <w:lang w:val="uk-UA"/>
        </w:rPr>
        <w:t xml:space="preserve"> заклад передвищої та </w:t>
      </w:r>
      <w:r>
        <w:rPr>
          <w:sz w:val="28"/>
          <w:szCs w:val="28"/>
          <w:lang w:val="uk-UA"/>
        </w:rPr>
        <w:t xml:space="preserve">два</w:t>
      </w:r>
      <w:r>
        <w:rPr>
          <w:sz w:val="28"/>
          <w:szCs w:val="28"/>
          <w:lang w:val="uk-UA"/>
        </w:rPr>
        <w:t xml:space="preserve"> заклади професійно-технічної освіти), 45 об’єктів закладів охорони здоров’я, 6 – соціального захисту, 37 – культури та 2 – спорту.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Частково відновлено 38 об’єктів соціальної інфраструктури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  <w:t xml:space="preserve"> 13 закладів освіти, 8 об’єктів закладів охорони здоров’я, 12 закладів</w:t>
      </w:r>
      <w:r>
        <w:rPr>
          <w:sz w:val="28"/>
          <w:szCs w:val="28"/>
          <w:lang w:val="uk-UA"/>
        </w:rPr>
        <w:t xml:space="preserve"> культури та 5 </w:t>
      </w:r>
      <w:r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спорту.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Процес відновлення триває на 32 об’єктах соціальної інфраструктури (19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закладів освіти, </w:t>
      </w:r>
      <w:r>
        <w:rPr>
          <w:sz w:val="28"/>
          <w:szCs w:val="28"/>
          <w:lang w:val="uk-UA"/>
        </w:rPr>
        <w:t xml:space="preserve">9 закладів культури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4 об’єкт</w:t>
      </w:r>
      <w:r>
        <w:rPr>
          <w:sz w:val="28"/>
          <w:szCs w:val="28"/>
          <w:lang w:val="uk-UA"/>
        </w:rPr>
        <w:t xml:space="preserve">ах</w:t>
      </w:r>
      <w:r>
        <w:rPr>
          <w:sz w:val="28"/>
          <w:szCs w:val="28"/>
          <w:lang w:val="uk-UA"/>
        </w:rPr>
        <w:t xml:space="preserve"> закладів охорони здоров’я). 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 відновленими залишаються заклади соціальної інфраструктури, які мають значні руйнування і потребують значних капіталовкладень.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Об’єкти бізнесу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  <w14:ligatures w14:val="standardContextual"/>
        </w:rPr>
        <w:t xml:space="preserve">Забезпечено щомісячний збір та узагальнення інформації, наданої робочими групами по фіксації втраченого, знищеного та/або пошкодженого майна, утворених сільськими, селищними, міськими радами</w:t>
      </w:r>
      <w:r>
        <w:rPr>
          <w:color w:val="000000" w:themeColor="text1"/>
          <w:sz w:val="28"/>
          <w:szCs w:val="28"/>
          <w:lang w:val="uk-UA"/>
          <w14:ligatures w14:val="standardContextual"/>
        </w:rPr>
        <w:t xml:space="preserve">,</w:t>
      </w:r>
      <w:r>
        <w:rPr>
          <w:color w:val="000000" w:themeColor="text1"/>
          <w:sz w:val="28"/>
          <w:szCs w:val="28"/>
          <w:lang w:val="uk-UA"/>
          <w14:ligatures w14:val="standardContextual"/>
        </w:rPr>
        <w:t xml:space="preserve"> щодо фіксації завданої шкоди та збитків підприємствам, установам та організаціям усіх форм власності, які постраждали внаслідок збройної агресії російської федерації проти України.</w:t>
      </w:r>
      <w:r>
        <w:rPr>
          <w:color w:val="000000" w:themeColor="text1"/>
          <w:sz w:val="28"/>
          <w:szCs w:val="28"/>
          <w:lang w:val="uk-UA"/>
        </w:rPr>
      </w:r>
    </w:p>
    <w:p>
      <w:pPr>
        <w:pStyle w:val="820"/>
        <w:pBdr/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Станом на 01.01.2026 подано інформацію щодо 581 суб’єкта, що зазнав пошкоджень на території 33 територіальних громад області. Серед них: 326 – підприємства, установи та організації недержавної форми власності, 255 – ФОПи.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</w:r>
    </w:p>
    <w:p>
      <w:pPr>
        <w:pBdr/>
        <w:spacing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За видами економічної діяльності із загальної кількості постраждалих </w:t>
      </w:r>
      <w:r>
        <w:rPr>
          <w:color w:val="000000"/>
          <w:sz w:val="28"/>
          <w:szCs w:val="28"/>
          <w:lang w:val="uk-UA"/>
        </w:rPr>
        <w:t xml:space="preserve">найбільша кількість пошкоджень у: торгівлі (243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або 41,8</w:t>
      </w:r>
      <w:r>
        <w:rPr>
          <w:color w:val="000000"/>
          <w:sz w:val="28"/>
          <w:szCs w:val="28"/>
          <w:lang w:val="uk-UA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%); сільському, лісовому, рибному господарстві (91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або 15,7</w:t>
      </w:r>
      <w:r>
        <w:rPr>
          <w:color w:val="000000"/>
          <w:sz w:val="28"/>
          <w:szCs w:val="28"/>
          <w:lang w:val="uk-UA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%)</w:t>
      </w:r>
      <w:r>
        <w:rPr>
          <w:color w:val="000000"/>
          <w:sz w:val="28"/>
          <w:szCs w:val="28"/>
          <w:lang w:val="uk-UA"/>
        </w:rPr>
        <w:t xml:space="preserve">; </w:t>
      </w:r>
      <w:r>
        <w:rPr>
          <w:color w:val="000000"/>
          <w:sz w:val="28"/>
          <w:szCs w:val="28"/>
          <w:lang w:val="uk-UA"/>
        </w:rPr>
        <w:t xml:space="preserve">промисловості (77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або 13,3</w:t>
      </w:r>
      <w:r>
        <w:rPr>
          <w:color w:val="000000"/>
          <w:sz w:val="28"/>
          <w:szCs w:val="28"/>
          <w:lang w:val="uk-UA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%); сфері операцій з нерухомістю (62</w:t>
      </w:r>
      <w:r>
        <w:rPr>
          <w:color w:val="000000"/>
          <w:sz w:val="28"/>
          <w:szCs w:val="28"/>
          <w:lang w:val="uk-UA"/>
        </w:rPr>
        <w:t xml:space="preserve">,</w:t>
      </w:r>
      <w:r>
        <w:rPr>
          <w:color w:val="000000"/>
          <w:sz w:val="28"/>
          <w:szCs w:val="28"/>
          <w:lang w:val="uk-UA"/>
        </w:rPr>
        <w:t xml:space="preserve"> або 10,7</w:t>
      </w:r>
      <w:r>
        <w:rPr>
          <w:color w:val="000000"/>
          <w:sz w:val="28"/>
          <w:szCs w:val="28"/>
          <w:lang w:val="uk-UA"/>
        </w:rPr>
        <w:t xml:space="preserve"> </w:t>
      </w:r>
      <w:r>
        <w:rPr>
          <w:color w:val="000000"/>
          <w:sz w:val="28"/>
          <w:szCs w:val="28"/>
          <w:lang w:val="uk-UA"/>
        </w:rPr>
        <w:t xml:space="preserve">%).</w:t>
      </w:r>
      <w:r>
        <w:rPr>
          <w:color w:val="000000"/>
          <w:sz w:val="28"/>
          <w:szCs w:val="28"/>
          <w:lang w:val="uk-UA"/>
        </w:rPr>
      </w:r>
    </w:p>
    <w:p>
      <w:pPr>
        <w:pStyle w:val="820"/>
        <w:pBdr/>
        <w:spacing w:after="0" w:line="240" w:lineRule="auto"/>
        <w:ind w:firstLine="567" w:left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Загальна вартість пошкодженого майна, за даними бухгалтерського обліку за залишковою вартістю підприємств, установ та організацій усіх форм власності, становить близько 6,9 млрд гр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 тому числі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фізичних осіб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підприєм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ців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 – 449,5 млн грн, підприємств, установ та організацій: приватної форми власності – 5,8 млрд гривень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,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 державної форми власності – 20,2 млн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гр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  <w:t xml:space="preserve">, комунальної форми власності – 515,4 млн гривень.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ru-RU"/>
        </w:rPr>
      </w:r>
    </w:p>
    <w:p>
      <w:pPr>
        <w:pBdr/>
        <w:spacing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За даними оновленої спільної Швидкої оцінки завданої шкоди та потреб на відновлення (RDNA4), проведеної спільно Групою Світового банку, Урядом України, Європейською комісією та ООН за підтримки інших партнерів,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о Чернігівській області 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  <w:lang w:val="uk-UA"/>
        </w:rPr>
        <w:t xml:space="preserve"> всіх сферах розмір шкоди становить 5,1 млрд дол. США, збитки – 7,9 млрд дол. США, потреби на відновлення – 13,7 млрд дол. США. </w:t>
      </w:r>
      <w:r>
        <w:rPr>
          <w:color w:val="000000" w:themeColor="text1"/>
          <w:sz w:val="28"/>
          <w:szCs w:val="28"/>
          <w:lang w:val="uk-UA"/>
        </w:rPr>
        <w:t xml:space="preserve">В</w:t>
      </w:r>
      <w:r>
        <w:rPr>
          <w:color w:val="000000" w:themeColor="text1"/>
          <w:sz w:val="28"/>
          <w:szCs w:val="28"/>
          <w:lang w:val="uk-UA"/>
        </w:rPr>
        <w:t xml:space="preserve">сього </w:t>
      </w:r>
      <w:r>
        <w:rPr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26,7 млрд дол. США.</w:t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426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У тому </w:t>
      </w:r>
      <w:r>
        <w:rPr>
          <w:color w:val="000000" w:themeColor="text1"/>
          <w:sz w:val="28"/>
          <w:szCs w:val="28"/>
          <w:lang w:val="uk-UA"/>
        </w:rPr>
        <w:t xml:space="preserve">числі за секторами:</w:t>
      </w:r>
      <w:r>
        <w:rPr>
          <w:color w:val="000000" w:themeColor="text1"/>
          <w:sz w:val="28"/>
          <w:szCs w:val="28"/>
          <w:lang w:val="uk-UA"/>
        </w:rPr>
        <w:t xml:space="preserve"> с</w:t>
      </w:r>
      <w:r>
        <w:rPr>
          <w:color w:val="000000" w:themeColor="text1"/>
          <w:sz w:val="28"/>
          <w:szCs w:val="28"/>
          <w:lang w:val="uk-UA"/>
        </w:rPr>
        <w:t xml:space="preserve">оціальний – 7,8 млрд дол. США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виробничий – 6,9 млрд дол. США</w:t>
      </w:r>
      <w:r>
        <w:rPr>
          <w:color w:val="000000" w:themeColor="text1"/>
          <w:sz w:val="28"/>
          <w:szCs w:val="28"/>
          <w:lang w:val="uk-UA"/>
        </w:rPr>
        <w:t xml:space="preserve">, і</w:t>
      </w:r>
      <w:r>
        <w:rPr>
          <w:color w:val="000000" w:themeColor="text1"/>
          <w:sz w:val="28"/>
          <w:szCs w:val="28"/>
          <w:lang w:val="uk-UA"/>
        </w:rPr>
        <w:t xml:space="preserve">нфраструктура – 11,0 млрд дол. США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наскрізні сектори – 1,0 млрд дол. США.</w:t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after="240"/>
        <w:ind w:firstLine="425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Крім того, орієнтовну вартість діяльності з вивільнення земель оцінено </w:t>
      </w:r>
      <w:r>
        <w:rPr>
          <w:color w:val="000000" w:themeColor="text1"/>
          <w:sz w:val="28"/>
          <w:szCs w:val="28"/>
          <w:lang w:val="uk-UA"/>
        </w:rPr>
        <w:t xml:space="preserve">в </w:t>
      </w:r>
      <w:r>
        <w:rPr>
          <w:color w:val="000000" w:themeColor="text1"/>
          <w:sz w:val="28"/>
          <w:szCs w:val="28"/>
          <w:lang w:val="uk-UA"/>
        </w:rPr>
        <w:t xml:space="preserve">1,4</w:t>
      </w:r>
      <w:r>
        <w:rPr>
          <w:color w:val="000000" w:themeColor="text1"/>
          <w:sz w:val="28"/>
          <w:szCs w:val="28"/>
          <w:lang w:val="uk-UA"/>
        </w:rPr>
        <w:t xml:space="preserve"> </w:t>
      </w:r>
      <w:r>
        <w:rPr>
          <w:color w:val="000000" w:themeColor="text1"/>
          <w:sz w:val="28"/>
          <w:szCs w:val="28"/>
          <w:lang w:val="uk-UA"/>
        </w:rPr>
        <w:t xml:space="preserve">млрд дол. США.</w:t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 w:after="240"/>
        <w:ind w:firstLine="425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>
      <w:pPr>
        <w:pStyle w:val="832"/>
        <w:pBdr/>
        <w:spacing/>
        <w:ind w:firstLine="567"/>
        <w:jc w:val="both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Об᾿єкти с</w:t>
      </w:r>
      <w:r>
        <w:rPr>
          <w:b/>
          <w:bCs/>
          <w:szCs w:val="28"/>
          <w:lang w:val="uk-UA"/>
        </w:rPr>
        <w:t xml:space="preserve">ф</w:t>
      </w:r>
      <w:r>
        <w:rPr>
          <w:b/>
          <w:bCs/>
          <w:szCs w:val="28"/>
          <w:lang w:val="uk-UA"/>
        </w:rPr>
        <w:t xml:space="preserve">ери</w:t>
      </w:r>
      <w:r>
        <w:rPr>
          <w:b/>
          <w:bCs/>
          <w:szCs w:val="28"/>
          <w:lang w:val="uk-UA"/>
        </w:rPr>
        <w:t xml:space="preserve"> житлово-комунального господарства</w:t>
      </w:r>
      <w:r>
        <w:rPr>
          <w:b/>
          <w:bCs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/>
      <w:bookmarkStart w:id="11" w:name="_Hlk159419990"/>
      <w:r>
        <w:rPr>
          <w:sz w:val="28"/>
          <w:szCs w:val="28"/>
          <w:lang w:val="uk-UA"/>
        </w:rPr>
        <w:t xml:space="preserve">С</w:t>
      </w:r>
      <w:r>
        <w:rPr>
          <w:sz w:val="28"/>
          <w:szCs w:val="28"/>
          <w:lang w:val="uk-UA"/>
        </w:rPr>
        <w:t xml:space="preserve">таном на 01.01.2026 різного ступеня пошкоджень зазнали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902 об’єкт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, зокрема 6 водопостачання, 11 водовідведення, 106 теплопостачання, 326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газопостачання,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453 електропостачання.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кінець 2025 року було відновлено 1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749 об’єктів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надання послуг з тепло-, водопостачання та водовідведення всім категоріям споживачів належної якості та у достатніх обсягах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обласною </w:t>
      </w:r>
      <w:r>
        <w:rPr>
          <w:sz w:val="28"/>
          <w:szCs w:val="28"/>
          <w:lang w:val="uk-UA"/>
        </w:rPr>
        <w:t xml:space="preserve">державною </w:t>
      </w:r>
      <w:r>
        <w:rPr>
          <w:sz w:val="28"/>
          <w:szCs w:val="28"/>
          <w:lang w:val="uk-UA"/>
        </w:rPr>
        <w:t xml:space="preserve">адміністрацією, органами місцевого самоврядування та підприємствами</w:t>
      </w:r>
      <w:r>
        <w:rPr>
          <w:sz w:val="28"/>
          <w:szCs w:val="28"/>
          <w:lang w:val="uk-UA"/>
        </w:rPr>
        <w:t xml:space="preserve"> – </w:t>
      </w:r>
      <w:r>
        <w:rPr>
          <w:sz w:val="28"/>
          <w:szCs w:val="28"/>
          <w:lang w:val="uk-UA"/>
        </w:rPr>
        <w:t xml:space="preserve">надавачами відповідних послуг активно проводи</w:t>
      </w:r>
      <w:r>
        <w:rPr>
          <w:sz w:val="28"/>
          <w:szCs w:val="28"/>
          <w:lang w:val="uk-UA"/>
        </w:rPr>
        <w:t xml:space="preserve">ла</w:t>
      </w:r>
      <w:r>
        <w:rPr>
          <w:sz w:val="28"/>
          <w:szCs w:val="28"/>
          <w:lang w:val="uk-UA"/>
        </w:rPr>
        <w:t xml:space="preserve">ся робота із залучення міжнародної донорської допомоги.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Так, 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рамках підписаного договору гуманітарної допомоги між КП «Чернігівводоканал» та Water for Ukraine E.V. придбано сонячні панелі, інвертори та монтажні елементи. Завдяки </w:t>
      </w:r>
      <w:r>
        <w:rPr>
          <w:sz w:val="28"/>
          <w:szCs w:val="28"/>
          <w:lang w:val="uk-UA"/>
        </w:rPr>
        <w:t xml:space="preserve">компанії Tetra Tech ES Inc отримано сухі трансформатори. UNICEF надано 3 дизельні генератори. Відповідно до рішення виконавчого комітету Чернігівської міської ради підприємству передано автомобіль Mersedes-Bens. Від Німецького товариства міжнародного</w:t>
      </w:r>
      <w:r>
        <w:rPr>
          <w:sz w:val="28"/>
          <w:szCs w:val="28"/>
          <w:lang w:val="uk-UA"/>
        </w:rPr>
        <w:t xml:space="preserve"> співробітництва GIZ отримано </w:t>
      </w:r>
      <w:r>
        <w:rPr>
          <w:sz w:val="28"/>
          <w:szCs w:val="28"/>
          <w:lang w:val="uk-UA"/>
        </w:rPr>
        <w:t xml:space="preserve">обладнання. Публічно-правовою компанією соціальної спрямованості </w:t>
      </w:r>
      <w:r>
        <w:rPr>
          <w:sz w:val="28"/>
          <w:szCs w:val="28"/>
        </w:rPr>
        <w:t xml:space="preserve">«ENABEL»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передано обладнання.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АТ «ОТКЕ» завдяки ЮНІСЕФ отримано компенсацію за реалізацію заходів </w:t>
      </w:r>
      <w:r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 xml:space="preserve">підключенн</w:t>
      </w:r>
      <w:r>
        <w:rPr>
          <w:sz w:val="28"/>
          <w:szCs w:val="28"/>
          <w:lang w:val="uk-UA"/>
        </w:rPr>
        <w:t xml:space="preserve">я 4 </w:t>
      </w:r>
      <w:r>
        <w:rPr>
          <w:sz w:val="28"/>
          <w:szCs w:val="28"/>
          <w:lang w:val="uk-UA"/>
        </w:rPr>
        <w:t xml:space="preserve">когенераційних установок. Німецьким товариством міжнародного співробітництва (GIZ) передано комплекти обладнання акумуляторних систем. </w:t>
      </w:r>
      <w:r>
        <w:rPr>
          <w:sz w:val="28"/>
          <w:szCs w:val="28"/>
          <w:lang w:val="uk-UA"/>
        </w:rPr>
        <w:t xml:space="preserve">Міжнародний комітет Червоного Хреста надав допомогу, забезпечивши проведення робіт із заміни тепломережі від центрального теплового пункту до обласної лікарні, а також передав труби, комплектуючі та обладнання хімводоочищення для котельні.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«Прилукитепловодопостачання» у межах меморандуму про взаєморозуміння з USAID було забезпечено обладнанням, а ЮНІСЕФ додатково надано матеріали та лабораторне оснащення. 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ТОВ «НіжинТеплоМережі» у межах проєкту енергетичної безпеки USAID отримало насосне обладнання та шафи керування з частотними перетворювачами.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Державні кошти на відновлення </w:t>
      </w:r>
      <w:r>
        <w:rPr>
          <w:b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 році на реалізацію 82</w:t>
      </w:r>
      <w:r>
        <w:rPr>
          <w:sz w:val="28"/>
          <w:szCs w:val="28"/>
          <w:lang w:val="uk-UA"/>
        </w:rPr>
        <w:t xml:space="preserve"> </w:t>
      </w:r>
      <w:r>
        <w:rPr>
          <w:sz w:val="28"/>
          <w:szCs w:val="28"/>
          <w:lang w:val="uk-UA"/>
        </w:rPr>
        <w:t xml:space="preserve">проєктів з відновлення та розвитку з державного бюджету області було передбачено 1,6 млрд грн: 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освітні субвенції (облаштування укриттів, модернізація їдалень (харчоблоків), придбання шкільних автобусів, протипожежний захист, створення центрів професійної освіти) – 877 млн грн на реалізацію 44 проєктів;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субвенція на реалізацію проєкту охорони здоров’я (капітальний ремонт будівлі поліклініки КНП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Чернігівська центральна районна лікарня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)</w:t>
      </w:r>
      <w:r>
        <w:rPr>
          <w:i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– 287,3 млн грн;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кошти </w:t>
      </w:r>
      <w:r>
        <w:rPr>
          <w:sz w:val="28"/>
          <w:szCs w:val="28"/>
          <w:lang w:val="uk-UA"/>
        </w:rPr>
        <w:t xml:space="preserve">фонду ліквідації наслідків </w:t>
      </w:r>
      <w:r>
        <w:rPr>
          <w:color w:val="000000" w:themeColor="text1"/>
          <w:sz w:val="28"/>
          <w:szCs w:val="28"/>
          <w:lang w:val="uk-UA"/>
        </w:rPr>
        <w:t xml:space="preserve">збройної агресії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– 181,3 млн грн на реалізацію 4</w:t>
      </w:r>
      <w:r>
        <w:rPr>
          <w:color w:val="000000" w:themeColor="text1"/>
          <w:sz w:val="28"/>
          <w:szCs w:val="28"/>
          <w:lang w:val="uk-UA"/>
        </w:rPr>
        <w:t xml:space="preserve"> </w:t>
      </w:r>
      <w:r>
        <w:rPr>
          <w:color w:val="000000" w:themeColor="text1"/>
          <w:sz w:val="28"/>
          <w:szCs w:val="28"/>
          <w:lang w:val="uk-UA"/>
        </w:rPr>
        <w:t xml:space="preserve">проєктів;</w:t>
      </w:r>
      <w:r>
        <w:rPr>
          <w:color w:val="000000" w:themeColor="text1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субвенції за Програмою з відновлення України, Програмою з відновлення України ІІІ та Надзвичайною кредитною програмою на відновлення України (кошти ЄІБ) – 187,1 млн грн на реалізацію 17 проєктів;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залишки субвенції, передбаченої постановою Кабінету Міністрів України </w:t>
      </w:r>
      <w:r>
        <w:rPr>
          <w:sz w:val="28"/>
          <w:szCs w:val="28"/>
          <w:lang w:val="uk-UA"/>
        </w:rPr>
        <w:t xml:space="preserve">від 16</w:t>
      </w:r>
      <w:r>
        <w:rPr>
          <w:sz w:val="28"/>
          <w:szCs w:val="28"/>
          <w:lang w:val="uk-UA"/>
        </w:rPr>
        <w:t xml:space="preserve">.06.</w:t>
      </w:r>
      <w:r>
        <w:rPr>
          <w:sz w:val="28"/>
          <w:szCs w:val="28"/>
          <w:lang w:val="uk-UA"/>
        </w:rPr>
        <w:t xml:space="preserve">2023 </w:t>
      </w:r>
      <w:r>
        <w:rPr>
          <w:sz w:val="28"/>
          <w:szCs w:val="28"/>
          <w:lang w:val="uk-UA"/>
        </w:rPr>
        <w:t xml:space="preserve">№ 608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– 81,2 млн грн на реалізацію 15 проєктів;</w:t>
      </w:r>
      <w:r>
        <w:rPr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кошти </w:t>
      </w:r>
      <w:r>
        <w:rPr>
          <w:sz w:val="28"/>
          <w:szCs w:val="28"/>
          <w:lang w:val="uk-UA"/>
        </w:rPr>
        <w:t xml:space="preserve">UNITED 24 – 43,8 млн грн на реалізацію </w:t>
      </w:r>
      <w:r>
        <w:rPr>
          <w:sz w:val="28"/>
          <w:szCs w:val="28"/>
          <w:lang w:val="uk-UA"/>
        </w:rPr>
        <w:t xml:space="preserve">одного</w:t>
      </w:r>
      <w:r>
        <w:rPr>
          <w:sz w:val="28"/>
          <w:szCs w:val="28"/>
          <w:lang w:val="uk-UA"/>
        </w:rPr>
        <w:t xml:space="preserve"> проєкту.</w:t>
      </w:r>
      <w:r>
        <w:rPr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b/>
          <w:bCs/>
          <w:color w:val="050505"/>
          <w:sz w:val="28"/>
          <w:szCs w:val="28"/>
          <w:lang w:val="uk-UA"/>
        </w:rPr>
      </w:pPr>
      <w:r>
        <w:rPr>
          <w:b/>
          <w:bCs/>
          <w:color w:val="050505"/>
          <w:sz w:val="28"/>
          <w:szCs w:val="28"/>
          <w:lang w:val="uk-UA"/>
        </w:rPr>
        <w:t xml:space="preserve">Міжнародне співробітництво та міжнародна технічна допомога</w:t>
      </w:r>
      <w:r>
        <w:rPr>
          <w:b/>
          <w:bCs/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 метою прискорення процесу відновлення та розвитку Чернігівщина активно залучає підтримку міжнародної спільноти. Ключовим координаційним майданчиком у цьому процесі виступає Регіональний офіс міжнародного співробітництва. </w:t>
      </w:r>
      <w:r>
        <w:rPr>
          <w:color w:val="050505"/>
          <w:sz w:val="28"/>
          <w:szCs w:val="28"/>
          <w:lang w:val="uk-UA"/>
        </w:rPr>
        <w:t xml:space="preserve">У</w:t>
      </w:r>
      <w:r>
        <w:rPr>
          <w:color w:val="050505"/>
          <w:sz w:val="28"/>
          <w:szCs w:val="28"/>
          <w:lang w:val="uk-UA"/>
        </w:rPr>
        <w:t xml:space="preserve"> рамках роботи Офісу проводиться систематизація даних, супроводження проєктів, формування переліку потреб області та територіальних громад задля максимального охоплення допомогою тих, хто її потребує.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В</w:t>
      </w:r>
      <w:r>
        <w:rPr>
          <w:color w:val="050505"/>
          <w:sz w:val="28"/>
          <w:szCs w:val="28"/>
          <w:lang w:val="uk-UA"/>
        </w:rPr>
        <w:t xml:space="preserve"> області здійсн</w:t>
      </w:r>
      <w:r>
        <w:rPr>
          <w:color w:val="050505"/>
          <w:sz w:val="28"/>
          <w:szCs w:val="28"/>
          <w:lang w:val="uk-UA"/>
        </w:rPr>
        <w:t xml:space="preserve">юється співпраця із понад 750 організаціями-донорами, партнерами з розвитку та благодійними організаціями. З них 55 – установи та партнерські організації ООН, більш ніж 700 – міжнародні та національні фонди, програми, громадські та благодійні організації. </w:t>
      </w:r>
      <w:r>
        <w:rPr>
          <w:color w:val="050505"/>
          <w:sz w:val="28"/>
          <w:szCs w:val="28"/>
          <w:lang w:val="uk-UA"/>
        </w:rPr>
      </w:r>
    </w:p>
    <w:p>
      <w:pPr>
        <w:widowControl w:val="false"/>
        <w:pBdr/>
        <w:shd w:val="clear" w:color="auto" w:fill="ffffff"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 початку повномасштабного вторгнення укладено понад 600 документів про співпрацю – меморандуми, угоди тощо, завдяки яким допомогу отримують понад 800 реципієнтів. Безпосередньо обласною військовою адміністрацією напрацьовано 72 документи про співпрацю. </w:t>
      </w:r>
      <w:r>
        <w:rPr>
          <w:color w:val="050505"/>
          <w:sz w:val="28"/>
          <w:szCs w:val="28"/>
          <w:lang w:val="uk-UA"/>
        </w:rPr>
      </w:r>
    </w:p>
    <w:p>
      <w:pPr>
        <w:widowControl w:val="false"/>
        <w:pBdr/>
        <w:shd w:val="clear" w:color="auto" w:fill="ffffff"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Збільш</w:t>
      </w:r>
      <w:r>
        <w:rPr>
          <w:color w:val="050505"/>
          <w:sz w:val="28"/>
          <w:szCs w:val="28"/>
          <w:lang w:val="uk-UA"/>
        </w:rPr>
        <w:t xml:space="preserve">илась</w:t>
      </w:r>
      <w:r>
        <w:rPr>
          <w:color w:val="050505"/>
          <w:sz w:val="28"/>
          <w:szCs w:val="28"/>
          <w:lang w:val="uk-UA"/>
        </w:rPr>
        <w:t xml:space="preserve"> кількість проєктів, у </w:t>
      </w:r>
      <w:r>
        <w:rPr>
          <w:color w:val="050505"/>
          <w:sz w:val="28"/>
          <w:szCs w:val="28"/>
          <w:lang w:val="uk-UA"/>
        </w:rPr>
        <w:t xml:space="preserve">т</w:t>
      </w:r>
      <w:r>
        <w:rPr>
          <w:color w:val="050505"/>
          <w:sz w:val="28"/>
          <w:szCs w:val="28"/>
          <w:lang w:val="uk-UA"/>
        </w:rPr>
        <w:t xml:space="preserve">ому числі</w:t>
      </w:r>
      <w:r>
        <w:rPr>
          <w:color w:val="050505"/>
          <w:sz w:val="28"/>
          <w:szCs w:val="28"/>
          <w:lang w:val="uk-UA"/>
        </w:rPr>
        <w:t xml:space="preserve"> міжнародної технічної допомоги</w:t>
      </w:r>
      <w:r>
        <w:rPr>
          <w:color w:val="050505"/>
          <w:sz w:val="28"/>
          <w:szCs w:val="28"/>
          <w:lang w:val="uk-UA"/>
        </w:rPr>
        <w:t xml:space="preserve">.</w:t>
      </w:r>
      <w:r>
        <w:rPr>
          <w:color w:val="050505"/>
          <w:sz w:val="28"/>
          <w:szCs w:val="28"/>
          <w:lang w:val="uk-UA"/>
        </w:rPr>
        <w:t xml:space="preserve"> </w:t>
      </w:r>
      <w:r>
        <w:rPr>
          <w:color w:val="050505"/>
          <w:sz w:val="28"/>
          <w:szCs w:val="28"/>
          <w:lang w:val="uk-UA"/>
        </w:rPr>
        <w:t xml:space="preserve">Я</w:t>
      </w:r>
      <w:r>
        <w:rPr>
          <w:color w:val="050505"/>
          <w:sz w:val="28"/>
          <w:szCs w:val="28"/>
          <w:lang w:val="uk-UA"/>
        </w:rPr>
        <w:t xml:space="preserve">кщо на початку 2025 року </w:t>
      </w:r>
      <w:r>
        <w:rPr>
          <w:color w:val="050505"/>
          <w:sz w:val="28"/>
          <w:szCs w:val="28"/>
          <w:lang w:val="uk-UA"/>
        </w:rPr>
        <w:t xml:space="preserve">Чернігівська </w:t>
      </w:r>
      <w:r>
        <w:rPr>
          <w:color w:val="050505"/>
          <w:sz w:val="28"/>
          <w:szCs w:val="28"/>
          <w:lang w:val="uk-UA"/>
        </w:rPr>
        <w:t xml:space="preserve">обласна військова адміністрація була бенефіціаром 8 проєктів, то </w:t>
      </w:r>
      <w:r>
        <w:rPr>
          <w:color w:val="050505"/>
          <w:sz w:val="28"/>
          <w:szCs w:val="28"/>
          <w:lang w:val="uk-UA"/>
        </w:rPr>
        <w:t xml:space="preserve">до кінця 2025 року </w:t>
      </w:r>
      <w:r>
        <w:rPr>
          <w:color w:val="050505"/>
          <w:sz w:val="28"/>
          <w:szCs w:val="28"/>
          <w:lang w:val="uk-UA"/>
        </w:rPr>
        <w:t xml:space="preserve">їх кількість зросла до 14</w:t>
      </w:r>
      <w:r>
        <w:rPr>
          <w:color w:val="050505"/>
          <w:sz w:val="28"/>
          <w:szCs w:val="28"/>
          <w:lang w:val="uk-UA"/>
        </w:rPr>
        <w:t xml:space="preserve">.</w:t>
      </w:r>
      <w:r>
        <w:rPr>
          <w:color w:val="050505"/>
          <w:sz w:val="28"/>
          <w:szCs w:val="28"/>
          <w:lang w:val="uk-UA"/>
        </w:rPr>
        <w:t xml:space="preserve"> </w:t>
      </w:r>
      <w:r>
        <w:rPr>
          <w:color w:val="050505"/>
          <w:sz w:val="28"/>
          <w:szCs w:val="28"/>
          <w:lang w:val="uk-UA"/>
        </w:rPr>
      </w:r>
    </w:p>
    <w:p>
      <w:pPr>
        <w:widowControl w:val="false"/>
        <w:pBdr/>
        <w:shd w:val="clear" w:color="auto" w:fill="ffffff"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Також до підтримки економічного розвитку та стимулювання ділової активності долучаються вітчизняні та міжнародні партнери. </w:t>
      </w:r>
      <w:r>
        <w:rPr>
          <w:color w:val="050505"/>
          <w:sz w:val="28"/>
          <w:szCs w:val="28"/>
          <w:lang w:val="uk-UA"/>
        </w:rPr>
        <w:t xml:space="preserve">У 2025 році понад 190 осіб отримали гранти на відкриття власної справи або самозайнятість, </w:t>
      </w:r>
      <w:r>
        <w:rPr>
          <w:sz w:val="28"/>
          <w:szCs w:val="28"/>
          <w:shd w:val="clear" w:color="auto" w:fill="ffffff"/>
          <w:lang w:val="uk-UA"/>
        </w:rPr>
        <w:t xml:space="preserve">екстрені бізнес-гранти </w:t>
      </w:r>
      <w:r>
        <w:rPr>
          <w:color w:val="050505"/>
          <w:sz w:val="28"/>
          <w:szCs w:val="28"/>
          <w:lang w:val="uk-UA"/>
        </w:rPr>
        <w:t xml:space="preserve">від таких організацій як Mercy Corps (134 особи), People in Peril (14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осіб), </w:t>
      </w:r>
      <w:r>
        <w:rPr>
          <w:sz w:val="28"/>
          <w:szCs w:val="28"/>
          <w:shd w:val="clear" w:color="auto" w:fill="ffffff"/>
          <w:lang w:val="uk-UA"/>
        </w:rPr>
        <w:t xml:space="preserve">швейцарської міжнародної організації «Helvetas Swiss Intercooperation» (11 осіб)</w:t>
      </w:r>
      <w:r>
        <w:rPr>
          <w:color w:val="050505"/>
          <w:sz w:val="28"/>
          <w:szCs w:val="28"/>
          <w:lang w:val="uk-UA"/>
        </w:rPr>
        <w:t xml:space="preserve">, ACTED (14 осіб), DRC (13 осіб) та Help-hilfe zur selbsthilfe (8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осіб). Крім того, понад 1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400 жителів області скористалися сільськогосподарськими грантами та ваучерними програмами (зокрема</w:t>
      </w:r>
      <w:r>
        <w:rPr>
          <w:color w:val="050505"/>
          <w:sz w:val="28"/>
          <w:szCs w:val="28"/>
          <w:lang w:val="uk-UA"/>
        </w:rPr>
        <w:t xml:space="preserve">,</w:t>
      </w:r>
      <w:r>
        <w:rPr>
          <w:color w:val="050505"/>
          <w:sz w:val="28"/>
          <w:szCs w:val="28"/>
          <w:lang w:val="uk-UA"/>
        </w:rPr>
        <w:t xml:space="preserve"> від </w:t>
      </w:r>
      <w:r>
        <w:rPr>
          <w:sz w:val="28"/>
          <w:szCs w:val="28"/>
          <w:shd w:val="clear" w:color="auto" w:fill="ffffff"/>
          <w:lang w:val="uk-UA"/>
        </w:rPr>
        <w:t xml:space="preserve">ZOA</w:t>
      </w:r>
      <w:r>
        <w:rPr>
          <w:sz w:val="28"/>
          <w:szCs w:val="28"/>
          <w:shd w:val="clear" w:color="auto" w:fill="ffffff"/>
          <w:lang w:val="uk-UA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– 535 осіб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shd w:val="clear" w:color="auto" w:fill="ffffff"/>
          <w:lang w:val="uk-UA"/>
        </w:rPr>
        <w:t xml:space="preserve"> DRC – 421 особа, Mercy Corps – 62 особи</w:t>
      </w:r>
      <w:r>
        <w:rPr>
          <w:sz w:val="28"/>
          <w:szCs w:val="28"/>
          <w:shd w:val="clear" w:color="auto" w:fill="ffffff"/>
          <w:lang w:val="uk-UA"/>
        </w:rPr>
        <w:t xml:space="preserve">,</w:t>
      </w:r>
      <w:r>
        <w:rPr>
          <w:sz w:val="28"/>
          <w:szCs w:val="28"/>
          <w:shd w:val="clear" w:color="auto" w:fill="ffffff"/>
          <w:lang w:val="uk-UA"/>
        </w:rPr>
        <w:t xml:space="preserve"> ACTED – 6 осіб, Angels of Salvation – 385 осіб)</w:t>
      </w:r>
      <w:r>
        <w:rPr>
          <w:color w:val="050505"/>
          <w:sz w:val="28"/>
          <w:szCs w:val="28"/>
          <w:lang w:val="uk-UA"/>
        </w:rPr>
        <w:t xml:space="preserve">.</w:t>
      </w:r>
      <w:r>
        <w:rPr>
          <w:color w:val="050505"/>
          <w:sz w:val="28"/>
          <w:szCs w:val="28"/>
          <w:lang w:val="uk-UA"/>
        </w:rPr>
      </w:r>
    </w:p>
    <w:p>
      <w:pPr>
        <w:widowControl w:val="false"/>
        <w:pBdr/>
        <w:shd w:val="clear" w:color="auto" w:fill="ffffff"/>
        <w:spacing/>
        <w:ind w:firstLine="567"/>
        <w:jc w:val="both"/>
        <w:rPr>
          <w:b/>
          <w:bCs/>
          <w:color w:val="000000"/>
          <w:spacing w:val="3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Процес відновлення області набув статусу міжурядової співпраці. На рівні національних урядів патронат над регіоном здійснюють Франція та Латвія, вагому підтримку також надають Бельгія та Німеччина. </w:t>
      </w:r>
      <w:r>
        <w:rPr>
          <w:color w:val="000000"/>
          <w:spacing w:val="3"/>
          <w:sz w:val="28"/>
          <w:szCs w:val="28"/>
          <w:lang w:val="uk-UA"/>
        </w:rPr>
        <w:t xml:space="preserve">Різні проєкти впроваджували партнери з низки інших країн, зокрема Швейцарії, Великої Британії, США, Данії, Канади, Швеції, Норвегії, Словаччини, Литви, Нідерландів, Австрії, Японії, Італії тощо.</w:t>
      </w:r>
      <w:r>
        <w:rPr>
          <w:b/>
          <w:bCs/>
          <w:color w:val="000000"/>
          <w:spacing w:val="3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За підтримки Уряду Латвії у 2025 році завершено ремонтні роб</w:t>
      </w:r>
      <w:r>
        <w:rPr>
          <w:color w:val="050505"/>
          <w:sz w:val="28"/>
          <w:szCs w:val="28"/>
          <w:lang w:val="uk-UA"/>
        </w:rPr>
        <w:t xml:space="preserve">о</w:t>
      </w:r>
      <w:r>
        <w:rPr>
          <w:color w:val="050505"/>
          <w:sz w:val="28"/>
          <w:szCs w:val="28"/>
          <w:lang w:val="uk-UA"/>
        </w:rPr>
        <w:t xml:space="preserve">ти </w:t>
      </w:r>
      <w:r>
        <w:rPr>
          <w:color w:val="050505"/>
          <w:sz w:val="28"/>
          <w:szCs w:val="28"/>
          <w:lang w:val="uk-UA"/>
        </w:rPr>
        <w:t xml:space="preserve">на</w:t>
      </w:r>
      <w:r>
        <w:rPr>
          <w:color w:val="050505"/>
          <w:sz w:val="28"/>
          <w:szCs w:val="28"/>
          <w:lang w:val="uk-UA"/>
        </w:rPr>
        <w:t xml:space="preserve"> 6</w:t>
      </w:r>
      <w:r>
        <w:rPr>
          <w:color w:val="050505"/>
          <w:sz w:val="28"/>
          <w:szCs w:val="28"/>
          <w:lang w:val="uk-UA"/>
        </w:rPr>
        <w:t xml:space="preserve"> </w:t>
      </w:r>
      <w:r>
        <w:rPr>
          <w:color w:val="050505"/>
          <w:sz w:val="28"/>
          <w:szCs w:val="28"/>
          <w:lang w:val="uk-UA"/>
        </w:rPr>
        <w:t xml:space="preserve">об’єктах соціальної сфери та розпочато впровадження наступного етапу </w:t>
      </w:r>
      <w:r>
        <w:rPr>
          <w:color w:val="050505"/>
          <w:sz w:val="28"/>
          <w:szCs w:val="28"/>
          <w:lang w:val="uk-UA"/>
        </w:rPr>
        <w:t xml:space="preserve">реалізації проєктів з відновлення. Громади (зокрема Іванівська та Семенівська) отримують матеріально-технічну підтримку від Міністерства економіки Латвії.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Низку проєктів</w:t>
      </w:r>
      <w:r>
        <w:rPr>
          <w:color w:val="050505"/>
          <w:sz w:val="28"/>
          <w:szCs w:val="28"/>
          <w:lang w:val="uk-UA"/>
        </w:rPr>
        <w:t xml:space="preserve">,</w:t>
      </w:r>
      <w:r>
        <w:rPr>
          <w:color w:val="050505"/>
          <w:sz w:val="28"/>
          <w:szCs w:val="28"/>
          <w:lang w:val="uk-UA"/>
        </w:rPr>
        <w:t xml:space="preserve"> </w:t>
      </w:r>
      <w:r>
        <w:rPr>
          <w:color w:val="050505"/>
          <w:sz w:val="28"/>
          <w:szCs w:val="28"/>
          <w:lang w:val="uk-UA"/>
        </w:rPr>
        <w:t xml:space="preserve">спрямован</w:t>
      </w:r>
      <w:r>
        <w:rPr>
          <w:color w:val="050505"/>
          <w:sz w:val="28"/>
          <w:szCs w:val="28"/>
          <w:lang w:val="uk-UA"/>
        </w:rPr>
        <w:t xml:space="preserve">их</w:t>
      </w:r>
      <w:r>
        <w:rPr>
          <w:color w:val="050505"/>
          <w:sz w:val="28"/>
          <w:szCs w:val="28"/>
          <w:lang w:val="uk-UA"/>
        </w:rPr>
        <w:t xml:space="preserve"> на відновлення пошкоджених об’єктів, підтримку соціального захисту та професійного навчання, інноваційний розвиток, підтримку громад </w:t>
      </w:r>
      <w:r>
        <w:rPr>
          <w:color w:val="050505"/>
          <w:sz w:val="28"/>
          <w:szCs w:val="28"/>
          <w:lang w:val="uk-UA"/>
        </w:rPr>
        <w:t xml:space="preserve">реалізувала Французька агенція міжнародного технічного співробітництва Expertise France</w:t>
      </w:r>
      <w:r>
        <w:rPr>
          <w:color w:val="050505"/>
          <w:sz w:val="28"/>
          <w:szCs w:val="28"/>
          <w:lang w:val="uk-UA"/>
        </w:rPr>
        <w:t xml:space="preserve">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Бельгійськ</w:t>
      </w:r>
      <w:r>
        <w:rPr>
          <w:color w:val="050505"/>
          <w:sz w:val="28"/>
          <w:szCs w:val="28"/>
          <w:lang w:val="uk-UA"/>
        </w:rPr>
        <w:t xml:space="preserve">им</w:t>
      </w:r>
      <w:r>
        <w:rPr>
          <w:color w:val="050505"/>
          <w:sz w:val="28"/>
          <w:szCs w:val="28"/>
          <w:lang w:val="uk-UA"/>
        </w:rPr>
        <w:t xml:space="preserve"> агентств</w:t>
      </w:r>
      <w:r>
        <w:rPr>
          <w:color w:val="050505"/>
          <w:sz w:val="28"/>
          <w:szCs w:val="28"/>
          <w:lang w:val="uk-UA"/>
        </w:rPr>
        <w:t xml:space="preserve">ом</w:t>
      </w:r>
      <w:r>
        <w:rPr>
          <w:color w:val="050505"/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розвитку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E</w:t>
      </w:r>
      <w:r>
        <w:rPr>
          <w:sz w:val="28"/>
          <w:szCs w:val="28"/>
          <w:lang w:val="uk-UA"/>
        </w:rPr>
        <w:t xml:space="preserve">NABE</w:t>
      </w:r>
      <w:r>
        <w:rPr>
          <w:sz w:val="28"/>
          <w:szCs w:val="28"/>
          <w:lang w:val="uk-UA"/>
        </w:rPr>
        <w:t xml:space="preserve">L»</w:t>
      </w:r>
      <w:r>
        <w:rPr>
          <w:sz w:val="28"/>
          <w:szCs w:val="28"/>
          <w:lang w:val="uk-UA"/>
        </w:rPr>
        <w:t xml:space="preserve"> впроваджува</w:t>
      </w:r>
      <w:r>
        <w:rPr>
          <w:sz w:val="28"/>
          <w:szCs w:val="28"/>
          <w:lang w:val="uk-UA"/>
        </w:rPr>
        <w:t xml:space="preserve">лись</w:t>
      </w:r>
      <w:r>
        <w:rPr>
          <w:sz w:val="28"/>
          <w:szCs w:val="28"/>
          <w:lang w:val="uk-UA"/>
        </w:rPr>
        <w:t xml:space="preserve"> проєкти з відновлення закладів освіти і охорони здоров’я, підтримки якісних медичних та соціальних послуг, забезпечення енергетичної безпеки, проведено </w:t>
      </w:r>
      <w:r>
        <w:rPr>
          <w:color w:val="050505"/>
          <w:sz w:val="28"/>
          <w:szCs w:val="28"/>
          <w:lang w:val="uk-UA"/>
        </w:rPr>
        <w:t xml:space="preserve">заходи </w:t>
      </w:r>
      <w:r>
        <w:rPr>
          <w:color w:val="050505"/>
          <w:sz w:val="28"/>
          <w:szCs w:val="28"/>
          <w:lang w:val="uk-UA"/>
        </w:rPr>
        <w:t xml:space="preserve">щодо перенавчання населення відповідно до потреб ринку праці.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Для прискорення процесу відновлення широко використовується міжнародне територіальне співробітництво.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Наразі Чернігівщина має 8 угод на регіональному рівні, 2 – на районному і</w:t>
      </w:r>
      <w:r>
        <w:rPr>
          <w:color w:val="050505"/>
          <w:sz w:val="28"/>
          <w:szCs w:val="28"/>
          <w:lang w:val="uk-UA"/>
        </w:rPr>
        <w:t xml:space="preserve"> 72 – на рівні громад (16 укладено протягом 2025 року). 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У </w:t>
      </w:r>
      <w:r>
        <w:rPr>
          <w:color w:val="050505"/>
          <w:sz w:val="28"/>
          <w:szCs w:val="28"/>
          <w:lang w:val="uk-UA"/>
        </w:rPr>
        <w:t xml:space="preserve">рамках співпраці з землею Мекленбург-Передня Померанія (Німеччина) завершено проєкт з облаштування укриттів у 5 начальних закладах області, на </w:t>
      </w:r>
      <w:r>
        <w:rPr>
          <w:color w:val="050505"/>
          <w:sz w:val="28"/>
          <w:szCs w:val="28"/>
          <w:lang w:val="uk-UA"/>
        </w:rPr>
        <w:t xml:space="preserve">реалізацію </w:t>
      </w:r>
      <w:r>
        <w:rPr>
          <w:color w:val="050505"/>
          <w:sz w:val="28"/>
          <w:szCs w:val="28"/>
          <w:lang w:val="uk-UA"/>
        </w:rPr>
        <w:t xml:space="preserve">як</w:t>
      </w:r>
      <w:r>
        <w:rPr>
          <w:color w:val="050505"/>
          <w:sz w:val="28"/>
          <w:szCs w:val="28"/>
          <w:lang w:val="uk-UA"/>
        </w:rPr>
        <w:t xml:space="preserve">ого </w:t>
      </w:r>
      <w:r>
        <w:rPr>
          <w:color w:val="050505"/>
          <w:sz w:val="28"/>
          <w:szCs w:val="28"/>
          <w:lang w:val="uk-UA"/>
        </w:rPr>
        <w:t xml:space="preserve">німецька сторона виділила 250 тис. євро. Крім того, для дітей з прикордонних громад було організовано літнє дозвілля в землі Мекленбург-Передня Померанія, а також про</w:t>
      </w:r>
      <w:r>
        <w:rPr>
          <w:color w:val="050505"/>
          <w:sz w:val="28"/>
          <w:szCs w:val="28"/>
          <w:lang w:val="uk-UA"/>
        </w:rPr>
        <w:t xml:space="preserve">ведено</w:t>
      </w:r>
      <w:r>
        <w:rPr>
          <w:color w:val="050505"/>
          <w:sz w:val="28"/>
          <w:szCs w:val="28"/>
          <w:lang w:val="uk-UA"/>
        </w:rPr>
        <w:t xml:space="preserve"> різні заходи в економічній, культурній та освітній сферах.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Продовж</w:t>
      </w:r>
      <w:r>
        <w:rPr>
          <w:color w:val="050505"/>
          <w:sz w:val="28"/>
          <w:szCs w:val="28"/>
          <w:lang w:val="uk-UA"/>
        </w:rPr>
        <w:t xml:space="preserve">илася</w:t>
      </w:r>
      <w:r>
        <w:rPr>
          <w:color w:val="050505"/>
          <w:sz w:val="28"/>
          <w:szCs w:val="28"/>
          <w:lang w:val="uk-UA"/>
        </w:rPr>
        <w:t xml:space="preserve"> співпраця з Регіоном Іль-де-Франс (Франція), в рамках якої розпочато реалізацію проєкту «Калина – разом для навчання з управління європейськими проєктами».</w:t>
      </w:r>
      <w:r>
        <w:rPr>
          <w:color w:val="050505"/>
          <w:sz w:val="28"/>
          <w:szCs w:val="28"/>
          <w:lang w:val="uk-UA"/>
        </w:rPr>
      </w:r>
    </w:p>
    <w:p>
      <w:pPr>
        <w:pBdr/>
        <w:spacing w:after="240"/>
        <w:ind w:firstLine="567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Інтенсивність дипломатичних та ділових контактів залишається вис</w:t>
      </w:r>
      <w:r>
        <w:rPr>
          <w:color w:val="050505"/>
          <w:sz w:val="28"/>
          <w:szCs w:val="28"/>
          <w:lang w:val="uk-UA"/>
        </w:rPr>
        <w:t xml:space="preserve">окою: за 2025 рік проведено понад 150 офіційних зустрічей з керівниками та представниками органів влади іноземних країн, регіонів-партнерів іноземних країн, міжнародних організацій та фондів, що створює міцне підґрунтя для подальшого розвитку Чернігівщини.</w:t>
      </w:r>
      <w:bookmarkEnd w:id="11"/>
      <w:r/>
      <w:r>
        <w:rPr>
          <w:color w:val="050505"/>
          <w:sz w:val="28"/>
          <w:szCs w:val="28"/>
          <w:lang w:val="uk-UA"/>
        </w:rPr>
      </w:r>
    </w:p>
    <w:p>
      <w:pPr>
        <w:pBdr/>
        <w:spacing w:after="240"/>
        <w:ind/>
        <w:jc w:val="center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 xml:space="preserve">____________________________________</w:t>
      </w:r>
      <w:r>
        <w:rPr>
          <w:color w:val="050505"/>
          <w:sz w:val="28"/>
          <w:szCs w:val="28"/>
          <w:lang w:val="uk-UA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6838" w:orient="portrait" w:w="11906"/>
      <w:pgMar w:top="568" w:right="566" w:bottom="709" w:left="1701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</w:font>
  <w:font w:name="Wingdings">
    <w:panose1 w:val="05010000000000000000"/>
  </w:font>
  <w:font w:name="Symbol">
    <w:panose1 w:val="05010000000000000000"/>
  </w:font>
  <w:font w:name="TimesNewRomanPSMT">
    <w:panose1 w:val="02020603050405020304"/>
  </w:font>
  <w:font w:name="Tahoma">
    <w:panose1 w:val="020B0604030504040204"/>
  </w:font>
  <w:font w:name="MS Mincho">
    <w:panose1 w:val="02020606060505090204"/>
  </w:font>
  <w:font w:name="Verdana">
    <w:panose1 w:val="020B0604030504040204"/>
  </w:font>
  <w:font w:name="SimSun">
    <w:panose1 w:val="02020603020101020101"/>
  </w:font>
  <w:font w:name="Courier New">
    <w:panose1 w:val="02070309020205020404"/>
  </w:font>
  <w:font w:name="Mangal">
    <w:panose1 w:val="02040503050406030204"/>
  </w:font>
  <w:font w:name="Antiqua">
    <w:panose1 w:val="02000503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3"/>
      <w:framePr w:hAnchor="margin" w:vAnchor="text" w:wrap="around" w:xAlign="right" w:y="1"/>
      <w:pBdr/>
      <w:spacing/>
      <w:ind/>
      <w:rPr>
        <w:rStyle w:val="814"/>
      </w:rPr>
    </w:pPr>
    <w:r>
      <w:rPr>
        <w:rStyle w:val="814"/>
      </w:rPr>
      <w:fldChar w:fldCharType="begin"/>
    </w:r>
    <w:r>
      <w:rPr>
        <w:rStyle w:val="814"/>
      </w:rPr>
      <w:instrText xml:space="preserve">PAGE  </w:instrText>
    </w:r>
    <w:r>
      <w:rPr>
        <w:rStyle w:val="814"/>
      </w:rPr>
      <w:fldChar w:fldCharType="end"/>
    </w:r>
    <w:r>
      <w:rPr>
        <w:rStyle w:val="814"/>
      </w:rPr>
    </w:r>
  </w:p>
  <w:p>
    <w:pPr>
      <w:pStyle w:val="813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jc w:val="center"/>
      <w:rPr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78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12F3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">
    <w:nsid w:val="024959C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4D80E87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3">
    <w:nsid w:val="05122AFC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Consolas" w:cs="Times New Roman"/>
        <w:sz w:val="20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nsid w:val="11FD502D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1E5275D5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6">
    <w:nsid w:val="27A46ED2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Consolas" w:cs="Times New Roman"/>
        <w:sz w:val="20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7">
    <w:nsid w:val="295C7454"/>
    <w:lvl w:ilvl="0">
      <w:isLgl w:val="false"/>
      <w:lvlJc w:val="left"/>
      <w:lvlText w:val="-"/>
      <w:numFmt w:val="bullet"/>
      <w:pPr>
        <w:pBdr/>
        <w:spacing/>
        <w:ind w:hanging="360" w:left="1287"/>
      </w:pPr>
      <w:rPr>
        <w:rFonts w:hint="default" w:ascii="Times New Roman" w:hAnsi="Times New Roman" w:eastAsia="Calibri" w:cs="Times New Roman"/>
      </w:rPr>
      <w:start w:val="202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abstractNum w:abstractNumId="8">
    <w:nsid w:val="2AA66CAA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Consolas" w:cs="Times New Roman"/>
        <w:sz w:val="20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9">
    <w:nsid w:val="420C7EC7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0">
    <w:nsid w:val="472D4FD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1">
    <w:nsid w:val="4E125640"/>
    <w:lvl w:ilvl="0">
      <w:isLgl w:val="false"/>
      <w:lvlJc w:val="left"/>
      <w:lvlText w:val="­"/>
      <w:numFmt w:val="bullet"/>
      <w:pPr>
        <w:pBdr/>
        <w:spacing/>
        <w:ind w:hanging="360" w:left="1287"/>
      </w:pPr>
      <w:rPr>
        <w:rFonts w:hint="default" w:ascii="Courier New" w:hAnsi="Courier New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2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4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8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60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47"/>
      </w:pPr>
      <w:rPr>
        <w:rFonts w:hint="default" w:ascii="Wingdings" w:hAnsi="Wingdings"/>
      </w:rPr>
      <w:start w:val="1"/>
      <w:suff w:val="tab"/>
    </w:lvl>
  </w:abstractNum>
  <w:abstractNum w:abstractNumId="12">
    <w:nsid w:val="521C42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3">
    <w:nsid w:val="5720416D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Times New Roman" w:hAnsi="Times New Roman" w:eastAsia="Consolas" w:cs="Times New Roman"/>
        <w:sz w:val="20"/>
      </w:rPr>
      <w:start w:val="3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4">
    <w:nsid w:val="5C85270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5">
    <w:nsid w:val="66FD41B6"/>
    <w:lvl w:ilvl="0">
      <w:isLgl w:val="false"/>
      <w:lvlJc w:val="left"/>
      <w:lvlText w:val="­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Courier New" w:hAnsi="Courier New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6">
    <w:nsid w:val="7EAB3DAF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3"/>
  </w:num>
  <w:num w:numId="5">
    <w:abstractNumId w:val="5"/>
  </w:num>
  <w:num w:numId="6">
    <w:abstractNumId w:val="10"/>
  </w:num>
  <w:num w:numId="7">
    <w:abstractNumId w:val="9"/>
  </w:num>
  <w:num w:numId="8">
    <w:abstractNumId w:val="8"/>
  </w:num>
  <w:num w:numId="9">
    <w:abstractNumId w:val="15"/>
  </w:num>
  <w:num w:numId="10">
    <w:abstractNumId w:val="6"/>
  </w:num>
  <w:num w:numId="11">
    <w:abstractNumId w:val="0"/>
  </w:num>
  <w:num w:numId="12">
    <w:abstractNumId w:val="2"/>
  </w:num>
  <w:num w:numId="13">
    <w:abstractNumId w:val="14"/>
  </w:num>
  <w:num w:numId="14">
    <w:abstractNumId w:val="13"/>
  </w:num>
  <w:num w:numId="15">
    <w:abstractNumId w:val="4"/>
  </w:num>
  <w:num w:numId="16">
    <w:abstractNumId w:val="1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778"/>
    <w:next w:val="77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778"/>
    <w:next w:val="77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2">
    <w:name w:val="Heading 4"/>
    <w:basedOn w:val="778"/>
    <w:next w:val="77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778"/>
    <w:next w:val="77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778"/>
    <w:next w:val="77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778"/>
    <w:next w:val="77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8"/>
    <w:next w:val="77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8"/>
    <w:next w:val="77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0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0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0"/>
    <w:link w:val="7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0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0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0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0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0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0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778"/>
    <w:next w:val="778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780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2">
    <w:name w:val="Subtitle Char"/>
    <w:basedOn w:val="780"/>
    <w:link w:val="84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8"/>
    <w:next w:val="77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0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78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778"/>
    <w:next w:val="77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0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78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4">
    <w:name w:val="Subtle Reference"/>
    <w:basedOn w:val="78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0"/>
    <w:link w:val="784"/>
    <w:uiPriority w:val="99"/>
    <w:pPr>
      <w:pBdr/>
      <w:spacing/>
      <w:ind/>
    </w:pPr>
  </w:style>
  <w:style w:type="character" w:styleId="179">
    <w:name w:val="Footer Char"/>
    <w:basedOn w:val="780"/>
    <w:link w:val="813"/>
    <w:uiPriority w:val="99"/>
    <w:pPr>
      <w:pBdr/>
      <w:spacing/>
      <w:ind/>
    </w:pPr>
  </w:style>
  <w:style w:type="paragraph" w:styleId="180">
    <w:name w:val="Caption"/>
    <w:basedOn w:val="778"/>
    <w:next w:val="77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8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0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0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8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0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0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778"/>
    <w:next w:val="778"/>
    <w:uiPriority w:val="39"/>
    <w:unhideWhenUsed/>
    <w:pPr>
      <w:pBdr/>
      <w:spacing w:after="100"/>
      <w:ind/>
    </w:pPr>
  </w:style>
  <w:style w:type="paragraph" w:styleId="190">
    <w:name w:val="toc 2"/>
    <w:basedOn w:val="778"/>
    <w:next w:val="778"/>
    <w:uiPriority w:val="39"/>
    <w:unhideWhenUsed/>
    <w:pPr>
      <w:pBdr/>
      <w:spacing w:after="100"/>
      <w:ind w:left="220"/>
    </w:pPr>
  </w:style>
  <w:style w:type="paragraph" w:styleId="191">
    <w:name w:val="toc 3"/>
    <w:basedOn w:val="778"/>
    <w:next w:val="778"/>
    <w:uiPriority w:val="39"/>
    <w:unhideWhenUsed/>
    <w:pPr>
      <w:pBdr/>
      <w:spacing w:after="100"/>
      <w:ind w:left="440"/>
    </w:pPr>
  </w:style>
  <w:style w:type="paragraph" w:styleId="192">
    <w:name w:val="toc 4"/>
    <w:basedOn w:val="778"/>
    <w:next w:val="778"/>
    <w:uiPriority w:val="39"/>
    <w:unhideWhenUsed/>
    <w:pPr>
      <w:pBdr/>
      <w:spacing w:after="100"/>
      <w:ind w:left="660"/>
    </w:pPr>
  </w:style>
  <w:style w:type="paragraph" w:styleId="193">
    <w:name w:val="toc 5"/>
    <w:basedOn w:val="778"/>
    <w:next w:val="778"/>
    <w:uiPriority w:val="39"/>
    <w:unhideWhenUsed/>
    <w:pPr>
      <w:pBdr/>
      <w:spacing w:after="100"/>
      <w:ind w:left="880"/>
    </w:pPr>
  </w:style>
  <w:style w:type="paragraph" w:styleId="194">
    <w:name w:val="toc 6"/>
    <w:basedOn w:val="778"/>
    <w:next w:val="778"/>
    <w:uiPriority w:val="39"/>
    <w:unhideWhenUsed/>
    <w:pPr>
      <w:pBdr/>
      <w:spacing w:after="100"/>
      <w:ind w:left="1100"/>
    </w:pPr>
  </w:style>
  <w:style w:type="paragraph" w:styleId="195">
    <w:name w:val="toc 7"/>
    <w:basedOn w:val="778"/>
    <w:next w:val="778"/>
    <w:uiPriority w:val="39"/>
    <w:unhideWhenUsed/>
    <w:pPr>
      <w:pBdr/>
      <w:spacing w:after="100"/>
      <w:ind w:left="1320"/>
    </w:pPr>
  </w:style>
  <w:style w:type="paragraph" w:styleId="196">
    <w:name w:val="toc 8"/>
    <w:basedOn w:val="778"/>
    <w:next w:val="778"/>
    <w:uiPriority w:val="39"/>
    <w:unhideWhenUsed/>
    <w:pPr>
      <w:pBdr/>
      <w:spacing w:after="100"/>
      <w:ind w:left="1540"/>
    </w:pPr>
  </w:style>
  <w:style w:type="paragraph" w:styleId="197">
    <w:name w:val="toc 9"/>
    <w:basedOn w:val="778"/>
    <w:next w:val="77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780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8"/>
    <w:next w:val="778"/>
    <w:uiPriority w:val="99"/>
    <w:unhideWhenUsed/>
    <w:pPr>
      <w:pBdr/>
      <w:spacing w:after="0" w:afterAutospacing="0"/>
      <w:ind/>
    </w:pPr>
  </w:style>
  <w:style w:type="paragraph" w:styleId="778" w:default="1">
    <w:name w:val="Normal"/>
    <w:qFormat/>
    <w:pPr>
      <w:pBdr/>
      <w:spacing/>
      <w:ind/>
    </w:pPr>
    <w:rPr>
      <w:sz w:val="24"/>
      <w:szCs w:val="24"/>
      <w:lang w:val="ru-RU" w:eastAsia="ru-RU"/>
    </w:rPr>
  </w:style>
  <w:style w:type="paragraph" w:styleId="779">
    <w:name w:val="Heading 3"/>
    <w:basedOn w:val="778"/>
    <w:link w:val="835"/>
    <w:uiPriority w:val="9"/>
    <w:qFormat/>
    <w:pPr>
      <w:pBdr/>
      <w:spacing w:after="100" w:afterAutospacing="1" w:before="100" w:beforeAutospacing="1"/>
      <w:ind/>
      <w:outlineLvl w:val="2"/>
    </w:pPr>
    <w:rPr>
      <w:b/>
      <w:bCs/>
      <w:sz w:val="27"/>
      <w:szCs w:val="27"/>
    </w:rPr>
  </w:style>
  <w:style w:type="character" w:styleId="780" w:default="1">
    <w:name w:val="Default Paragraph Font"/>
    <w:uiPriority w:val="1"/>
    <w:semiHidden/>
    <w:unhideWhenUsed/>
    <w:pPr>
      <w:pBdr/>
      <w:spacing/>
      <w:ind/>
    </w:pPr>
  </w:style>
  <w:style w:type="table" w:styleId="78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2" w:default="1">
    <w:name w:val="No List"/>
    <w:uiPriority w:val="99"/>
    <w:semiHidden/>
    <w:unhideWhenUsed/>
    <w:pPr>
      <w:pBdr/>
      <w:spacing/>
      <w:ind/>
    </w:pPr>
  </w:style>
  <w:style w:type="character" w:styleId="783" w:customStyle="1">
    <w:name w:val="Шрифт абзацу за промовчанням"/>
    <w:semiHidden/>
    <w:pPr>
      <w:pBdr/>
      <w:spacing/>
      <w:ind/>
    </w:pPr>
  </w:style>
  <w:style w:type="paragraph" w:styleId="784">
    <w:name w:val="Header"/>
    <w:basedOn w:val="778"/>
    <w:link w:val="785"/>
    <w:uiPriority w:val="99"/>
    <w:pPr>
      <w:pBdr/>
      <w:tabs>
        <w:tab w:val="center" w:leader="none" w:pos="4153"/>
        <w:tab w:val="right" w:leader="none" w:pos="8306"/>
      </w:tabs>
      <w:spacing/>
      <w:ind/>
    </w:pPr>
    <w:rPr>
      <w:sz w:val="20"/>
      <w:szCs w:val="20"/>
    </w:rPr>
  </w:style>
  <w:style w:type="character" w:styleId="785" w:customStyle="1">
    <w:name w:val="Верхній колонтитул Знак"/>
    <w:link w:val="784"/>
    <w:uiPriority w:val="99"/>
    <w:pPr>
      <w:pBdr/>
      <w:spacing/>
      <w:ind/>
    </w:pPr>
    <w:rPr>
      <w:lang w:val="ru-RU" w:eastAsia="ru-RU" w:bidi="ar-SA"/>
    </w:rPr>
  </w:style>
  <w:style w:type="character" w:styleId="786">
    <w:name w:val="Hyperlink"/>
    <w:pPr>
      <w:pBdr/>
      <w:spacing/>
      <w:ind/>
    </w:pPr>
    <w:rPr>
      <w:color w:val="0000ff"/>
      <w:u w:val="single"/>
    </w:rPr>
  </w:style>
  <w:style w:type="paragraph" w:styleId="787">
    <w:name w:val="Body Text"/>
    <w:basedOn w:val="778"/>
    <w:pPr>
      <w:pBdr/>
      <w:spacing/>
      <w:ind/>
      <w:jc w:val="both"/>
    </w:pPr>
    <w:rPr>
      <w:sz w:val="28"/>
      <w:szCs w:val="28"/>
      <w:lang w:val="uk-UA"/>
    </w:rPr>
  </w:style>
  <w:style w:type="character" w:styleId="788">
    <w:name w:val="Strong"/>
    <w:uiPriority w:val="22"/>
    <w:qFormat/>
    <w:pPr>
      <w:pBdr/>
      <w:spacing/>
      <w:ind/>
    </w:pPr>
    <w:rPr>
      <w:b/>
      <w:bCs/>
    </w:rPr>
  </w:style>
  <w:style w:type="character" w:styleId="789" w:customStyle="1">
    <w:name w:val="Font Style12"/>
    <w:pPr>
      <w:pBdr/>
      <w:spacing/>
      <w:ind/>
    </w:pPr>
    <w:rPr>
      <w:rFonts w:ascii="Times New Roman" w:hAnsi="Times New Roman" w:cs="Times New Roman"/>
      <w:sz w:val="30"/>
      <w:szCs w:val="30"/>
    </w:rPr>
  </w:style>
  <w:style w:type="paragraph" w:styleId="790">
    <w:name w:val="Normal (Web)"/>
    <w:basedOn w:val="778"/>
    <w:link w:val="794"/>
    <w:uiPriority w:val="99"/>
    <w:qFormat/>
    <w:pPr>
      <w:pBdr/>
      <w:spacing w:after="100" w:afterAutospacing="1" w:before="100" w:beforeAutospacing="1"/>
      <w:ind/>
    </w:pPr>
  </w:style>
  <w:style w:type="paragraph" w:styleId="791">
    <w:name w:val="Body Text Indent"/>
    <w:basedOn w:val="778"/>
    <w:link w:val="792"/>
    <w:semiHidden/>
    <w:pPr>
      <w:pBdr/>
      <w:spacing w:after="120"/>
      <w:ind w:left="283"/>
    </w:pPr>
    <w:rPr>
      <w:rFonts w:eastAsia="Calibri"/>
      <w:b/>
      <w:bCs/>
      <w:sz w:val="28"/>
      <w:lang w:val="uk-UA"/>
    </w:rPr>
  </w:style>
  <w:style w:type="character" w:styleId="792" w:customStyle="1">
    <w:name w:val="Основний текст з відступом Знак"/>
    <w:link w:val="791"/>
    <w:semiHidden/>
    <w:pPr>
      <w:pBdr/>
      <w:spacing/>
      <w:ind/>
    </w:pPr>
    <w:rPr>
      <w:rFonts w:eastAsia="Calibri"/>
      <w:b/>
      <w:bCs/>
      <w:sz w:val="28"/>
      <w:szCs w:val="24"/>
      <w:lang w:val="uk-UA" w:eastAsia="ru-RU" w:bidi="ar-SA"/>
    </w:rPr>
  </w:style>
  <w:style w:type="character" w:styleId="793" w:customStyle="1">
    <w:name w:val="Стандартний HTML Знак"/>
    <w:link w:val="795"/>
    <w:pPr>
      <w:pBdr/>
      <w:spacing/>
      <w:ind/>
    </w:pPr>
    <w:rPr>
      <w:b/>
      <w:bCs/>
      <w:sz w:val="28"/>
      <w:szCs w:val="24"/>
      <w:lang w:val="uk-UA" w:eastAsia="ru-RU" w:bidi="ar-SA"/>
    </w:rPr>
  </w:style>
  <w:style w:type="character" w:styleId="794" w:customStyle="1">
    <w:name w:val="Звичайний (веб) Знак"/>
    <w:link w:val="790"/>
    <w:uiPriority w:val="99"/>
    <w:pPr>
      <w:pBdr/>
      <w:spacing/>
      <w:ind/>
    </w:pPr>
    <w:rPr>
      <w:sz w:val="24"/>
      <w:szCs w:val="24"/>
      <w:lang w:val="ru-RU" w:eastAsia="ru-RU" w:bidi="ar-SA"/>
    </w:rPr>
  </w:style>
  <w:style w:type="paragraph" w:styleId="795">
    <w:name w:val="HTML Preformatted"/>
    <w:basedOn w:val="778"/>
    <w:link w:val="79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b/>
      <w:bCs/>
      <w:sz w:val="28"/>
      <w:lang w:val="uk-UA"/>
    </w:rPr>
  </w:style>
  <w:style w:type="paragraph" w:styleId="796">
    <w:name w:val="Body Text 2"/>
    <w:basedOn w:val="778"/>
    <w:pPr>
      <w:pBdr/>
      <w:spacing w:after="120" w:line="480" w:lineRule="auto"/>
      <w:ind/>
    </w:pPr>
  </w:style>
  <w:style w:type="paragraph" w:styleId="797" w:customStyle="1">
    <w:name w:val="Нормальний текст"/>
    <w:basedOn w:val="778"/>
    <w:qFormat/>
    <w:pPr>
      <w:pBdr/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798" w:customStyle="1">
    <w:name w:val="p14"/>
    <w:basedOn w:val="778"/>
    <w:pPr>
      <w:pBdr/>
      <w:spacing w:after="100" w:afterAutospacing="1" w:before="100" w:beforeAutospacing="1"/>
      <w:ind/>
    </w:pPr>
    <w:rPr>
      <w:rFonts w:eastAsia="Calibri"/>
    </w:rPr>
  </w:style>
  <w:style w:type="character" w:styleId="799" w:customStyle="1">
    <w:name w:val="Основной шрифт абзаца1"/>
    <w:pPr>
      <w:pBdr/>
      <w:spacing/>
      <w:ind/>
    </w:pPr>
  </w:style>
  <w:style w:type="paragraph" w:styleId="800" w:customStyle="1">
    <w:name w:val="Основний текст з відступом 31"/>
    <w:basedOn w:val="778"/>
    <w:pPr>
      <w:widowControl w:val="false"/>
      <w:pBdr/>
      <w:spacing w:after="120"/>
      <w:ind w:left="283"/>
    </w:pPr>
    <w:rPr>
      <w:rFonts w:eastAsia="SimSun" w:cs="Mangal"/>
      <w:sz w:val="16"/>
      <w:szCs w:val="16"/>
      <w:lang w:val="uk-UA" w:eastAsia="zh-CN" w:bidi="hi-IN"/>
    </w:rPr>
  </w:style>
  <w:style w:type="paragraph" w:styleId="801" w:customStyle="1">
    <w:name w:val="western"/>
    <w:basedOn w:val="778"/>
    <w:pPr>
      <w:pBdr/>
      <w:spacing w:after="119" w:before="280"/>
      <w:ind/>
    </w:pPr>
    <w:rPr>
      <w:color w:val="000000"/>
      <w:lang w:eastAsia="zh-CN"/>
    </w:rPr>
  </w:style>
  <w:style w:type="paragraph" w:styleId="802" w:customStyle="1">
    <w:name w:val="Знак Знак Знак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uk-UA" w:eastAsia="en-US"/>
    </w:rPr>
  </w:style>
  <w:style w:type="character" w:styleId="803" w:customStyle="1">
    <w:name w:val="rvts23"/>
    <w:pPr>
      <w:pBdr/>
      <w:spacing/>
      <w:ind/>
    </w:pPr>
  </w:style>
  <w:style w:type="character" w:styleId="804" w:customStyle="1">
    <w:name w:val="apple-converted-space"/>
    <w:pPr>
      <w:pBdr/>
      <w:spacing/>
      <w:ind/>
    </w:pPr>
    <w:rPr>
      <w:rFonts w:cs="Times New Roman"/>
    </w:rPr>
  </w:style>
  <w:style w:type="character" w:styleId="805" w:customStyle="1">
    <w:name w:val="st131"/>
    <w:pPr>
      <w:pBdr/>
      <w:spacing/>
      <w:ind/>
    </w:pPr>
    <w:rPr>
      <w:i/>
      <w:color w:val="0000ff"/>
    </w:rPr>
  </w:style>
  <w:style w:type="character" w:styleId="806" w:customStyle="1">
    <w:name w:val="rvts9"/>
    <w:pPr>
      <w:pBdr/>
      <w:spacing/>
      <w:ind/>
    </w:pPr>
    <w:rPr>
      <w:rFonts w:cs="Times New Roman"/>
    </w:rPr>
  </w:style>
  <w:style w:type="paragraph" w:styleId="807" w:customStyle="1">
    <w:name w:val="Знак Знак Знак Знак1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08">
    <w:name w:val="Plain Text"/>
    <w:basedOn w:val="778"/>
    <w:pPr>
      <w:pBdr/>
      <w:spacing/>
      <w:ind/>
    </w:pPr>
    <w:rPr>
      <w:rFonts w:ascii="Courier New" w:hAnsi="Courier New" w:cs="Courier New"/>
      <w:sz w:val="20"/>
      <w:szCs w:val="20"/>
    </w:rPr>
  </w:style>
  <w:style w:type="character" w:styleId="809">
    <w:name w:val="Emphasis"/>
    <w:uiPriority w:val="20"/>
    <w:qFormat/>
    <w:pPr>
      <w:pBdr/>
      <w:spacing/>
      <w:ind/>
    </w:pPr>
    <w:rPr>
      <w:i/>
    </w:rPr>
  </w:style>
  <w:style w:type="character" w:styleId="810" w:customStyle="1">
    <w:name w:val="Body Text Indent Char"/>
    <w:semiHidden/>
    <w:pPr>
      <w:pBdr/>
      <w:spacing/>
      <w:ind/>
    </w:pPr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811" w:customStyle="1">
    <w:name w:val="List Paragraph1"/>
    <w:basedOn w:val="778"/>
    <w:pPr>
      <w:pBdr/>
      <w:spacing w:after="200" w:line="276" w:lineRule="auto"/>
      <w:ind w:left="720"/>
      <w:contextualSpacing w:val="true"/>
    </w:pPr>
    <w:rPr>
      <w:rFonts w:ascii="Calibri" w:hAnsi="Calibri"/>
      <w:sz w:val="22"/>
      <w:szCs w:val="22"/>
      <w:lang w:eastAsia="en-US"/>
    </w:rPr>
  </w:style>
  <w:style w:type="character" w:styleId="812" w:customStyle="1">
    <w:name w:val="text_exposed_show"/>
    <w:pPr>
      <w:pBdr/>
      <w:spacing/>
      <w:ind/>
    </w:pPr>
  </w:style>
  <w:style w:type="paragraph" w:styleId="813">
    <w:name w:val="Footer"/>
    <w:basedOn w:val="778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14">
    <w:name w:val="page number"/>
    <w:basedOn w:val="783"/>
    <w:pPr>
      <w:pBdr/>
      <w:spacing/>
      <w:ind/>
    </w:pPr>
  </w:style>
  <w:style w:type="paragraph" w:styleId="815" w:customStyle="1">
    <w:name w:val="Стиль"/>
    <w:pPr>
      <w:widowControl w:val="false"/>
      <w:pBdr/>
      <w:spacing/>
      <w:ind/>
    </w:pPr>
    <w:rPr>
      <w:rFonts w:ascii="Arial" w:hAnsi="Arial" w:eastAsia="Calibri" w:cs="Arial"/>
      <w:sz w:val="24"/>
      <w:szCs w:val="24"/>
      <w:lang w:val="ru-RU" w:eastAsia="ru-RU"/>
    </w:rPr>
  </w:style>
  <w:style w:type="paragraph" w:styleId="816" w:customStyle="1">
    <w:name w:val="Без інтервалів1"/>
    <w:qFormat/>
    <w:pPr>
      <w:pBdr/>
      <w:spacing/>
      <w:ind/>
    </w:pPr>
    <w:rPr>
      <w:sz w:val="24"/>
      <w:szCs w:val="24"/>
      <w:lang w:eastAsia="ru-RU"/>
    </w:rPr>
  </w:style>
  <w:style w:type="paragraph" w:styleId="817" w:customStyle="1">
    <w:name w:val="Body Text Indent 21"/>
    <w:basedOn w:val="778"/>
    <w:pPr>
      <w:pBdr/>
      <w:spacing/>
      <w:ind w:firstLine="851"/>
      <w:jc w:val="both"/>
    </w:pPr>
    <w:rPr>
      <w:szCs w:val="20"/>
      <w:lang w:val="uk-UA"/>
    </w:rPr>
  </w:style>
  <w:style w:type="paragraph" w:styleId="818" w:customStyle="1">
    <w:name w:val="Body Text 21"/>
    <w:basedOn w:val="778"/>
    <w:pPr>
      <w:pBdr/>
      <w:spacing/>
      <w:ind/>
      <w:jc w:val="center"/>
    </w:pPr>
    <w:rPr>
      <w:sz w:val="27"/>
      <w:szCs w:val="20"/>
      <w:lang w:val="uk-UA"/>
    </w:rPr>
  </w:style>
  <w:style w:type="paragraph" w:styleId="819" w:customStyle="1">
    <w:name w:val="Знак Знак Знак"/>
    <w:basedOn w:val="778"/>
    <w:pPr>
      <w:pBdr/>
      <w:spacing/>
      <w:ind/>
    </w:pPr>
    <w:rPr>
      <w:rFonts w:ascii="Verdana" w:hAnsi="Verdana" w:eastAsia="MS Mincho"/>
      <w:sz w:val="20"/>
      <w:szCs w:val="20"/>
      <w:lang w:val="en-US" w:eastAsia="en-US"/>
    </w:rPr>
  </w:style>
  <w:style w:type="paragraph" w:styleId="820">
    <w:name w:val="List Paragraph"/>
    <w:basedOn w:val="778"/>
    <w:link w:val="838"/>
    <w:uiPriority w:val="34"/>
    <w:qFormat/>
    <w:pPr>
      <w:pBdr/>
      <w:spacing w:after="200" w:line="276" w:lineRule="auto"/>
      <w:ind w:left="720"/>
      <w:contextualSpacing w:val="true"/>
    </w:pPr>
    <w:rPr>
      <w:rFonts w:ascii="Calibri" w:hAnsi="Calibri" w:eastAsia="Calibri" w:cs="Arial"/>
      <w:sz w:val="22"/>
      <w:szCs w:val="22"/>
      <w:lang w:eastAsia="en-US"/>
    </w:rPr>
  </w:style>
  <w:style w:type="paragraph" w:styleId="821" w:customStyle="1">
    <w:name w:val="Абзац списка1"/>
    <w:basedOn w:val="778"/>
    <w:pPr>
      <w:pBdr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822" w:customStyle="1">
    <w:name w:val="Знак Знак2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23" w:customStyle="1">
    <w:name w:val="Знак Знак Знак Знак1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24">
    <w:name w:val="Body Text Indent 2"/>
    <w:basedOn w:val="778"/>
    <w:link w:val="825"/>
    <w:pPr>
      <w:pBdr/>
      <w:spacing w:after="120" w:line="480" w:lineRule="auto"/>
      <w:ind w:left="283"/>
    </w:pPr>
  </w:style>
  <w:style w:type="character" w:styleId="825" w:customStyle="1">
    <w:name w:val="Основний текст з відступом 2 Знак"/>
    <w:link w:val="824"/>
    <w:pPr>
      <w:pBdr/>
      <w:spacing/>
      <w:ind/>
    </w:pPr>
    <w:rPr>
      <w:sz w:val="24"/>
      <w:szCs w:val="24"/>
    </w:rPr>
  </w:style>
  <w:style w:type="paragraph" w:styleId="826" w:customStyle="1">
    <w:name w:val="rvps2"/>
    <w:basedOn w:val="778"/>
    <w:pPr>
      <w:pBdr/>
      <w:spacing w:after="100" w:afterAutospacing="1" w:before="100" w:beforeAutospacing="1"/>
      <w:ind/>
    </w:pPr>
  </w:style>
  <w:style w:type="table" w:styleId="827">
    <w:name w:val="Table Grid"/>
    <w:basedOn w:val="781"/>
    <w:uiPriority w:val="39"/>
    <w:pPr>
      <w:pBdr/>
      <w:spacing/>
      <w:ind/>
    </w:pPr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28" w:customStyle="1">
    <w:name w:val="Основной текст (8)_"/>
    <w:link w:val="829"/>
    <w:pPr>
      <w:pBdr/>
      <w:spacing/>
      <w:ind/>
    </w:pPr>
    <w:rPr>
      <w:b/>
      <w:bCs/>
      <w:sz w:val="28"/>
      <w:szCs w:val="28"/>
      <w:shd w:val="clear" w:color="auto" w:fill="ffffff"/>
    </w:rPr>
  </w:style>
  <w:style w:type="paragraph" w:styleId="829" w:customStyle="1">
    <w:name w:val="Основной текст (8)"/>
    <w:basedOn w:val="778"/>
    <w:link w:val="828"/>
    <w:pPr>
      <w:widowControl w:val="false"/>
      <w:pBdr/>
      <w:shd w:val="clear" w:color="auto" w:fill="ffffff"/>
      <w:spacing w:after="60" w:before="360" w:line="0" w:lineRule="atLeast"/>
      <w:ind/>
      <w:jc w:val="center"/>
    </w:pPr>
    <w:rPr>
      <w:b/>
      <w:bCs/>
      <w:sz w:val="28"/>
      <w:szCs w:val="28"/>
    </w:rPr>
  </w:style>
  <w:style w:type="character" w:styleId="830" w:customStyle="1">
    <w:name w:val="fontstyle01"/>
    <w:pPr>
      <w:pBdr/>
      <w:spacing/>
      <w:ind/>
    </w:pPr>
    <w:rPr>
      <w:rFonts w:hint="default"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styleId="831" w:customStyle="1">
    <w:name w:val="Незакрита згадка1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832">
    <w:name w:val="No Spacing"/>
    <w:uiPriority w:val="1"/>
    <w:qFormat/>
    <w:pPr>
      <w:pBdr/>
      <w:spacing/>
      <w:ind/>
    </w:pPr>
    <w:rPr>
      <w:rFonts w:eastAsia="Calibri"/>
      <w:sz w:val="28"/>
      <w:szCs w:val="24"/>
      <w:lang w:val="ru-RU" w:eastAsia="en-US"/>
    </w:rPr>
  </w:style>
  <w:style w:type="paragraph" w:styleId="833">
    <w:name w:val="Balloon Text"/>
    <w:basedOn w:val="778"/>
    <w:link w:val="834"/>
    <w:pPr>
      <w:pBdr/>
      <w:spacing/>
      <w:ind/>
    </w:pPr>
    <w:rPr>
      <w:rFonts w:ascii="Tahoma" w:hAnsi="Tahoma" w:cs="Tahoma"/>
      <w:sz w:val="16"/>
      <w:szCs w:val="16"/>
    </w:rPr>
  </w:style>
  <w:style w:type="character" w:styleId="834" w:customStyle="1">
    <w:name w:val="Текст у виносці Знак"/>
    <w:link w:val="833"/>
    <w:pPr>
      <w:pBdr/>
      <w:spacing/>
      <w:ind/>
    </w:pPr>
    <w:rPr>
      <w:rFonts w:ascii="Tahoma" w:hAnsi="Tahoma" w:cs="Tahoma"/>
      <w:sz w:val="16"/>
      <w:szCs w:val="16"/>
    </w:rPr>
  </w:style>
  <w:style w:type="character" w:styleId="835" w:customStyle="1">
    <w:name w:val="Заголовок 3 Знак"/>
    <w:link w:val="779"/>
    <w:uiPriority w:val="9"/>
    <w:pPr>
      <w:pBdr/>
      <w:spacing/>
      <w:ind/>
    </w:pPr>
    <w:rPr>
      <w:b/>
      <w:bCs/>
      <w:sz w:val="27"/>
      <w:szCs w:val="27"/>
    </w:rPr>
  </w:style>
  <w:style w:type="paragraph" w:styleId="836" w:customStyle="1">
    <w:name w:val="Основний текст 31"/>
    <w:basedOn w:val="778"/>
    <w:pPr>
      <w:widowControl w:val="false"/>
      <w:pBdr/>
      <w:spacing/>
      <w:ind/>
      <w:jc w:val="both"/>
    </w:pPr>
    <w:rPr>
      <w:szCs w:val="20"/>
      <w:lang w:val="uk-UA"/>
    </w:rPr>
  </w:style>
  <w:style w:type="paragraph" w:styleId="837" w:customStyle="1">
    <w:name w:val="xfmc1"/>
    <w:basedOn w:val="778"/>
    <w:pPr>
      <w:pBdr/>
      <w:spacing w:after="200" w:afterAutospacing="1" w:beforeAutospacing="1"/>
      <w:ind/>
    </w:pPr>
    <w:rPr>
      <w:color w:val="000000"/>
      <w:szCs w:val="20"/>
      <w:lang w:val="uk-UA" w:eastAsia="uk-UA"/>
    </w:rPr>
  </w:style>
  <w:style w:type="character" w:styleId="838" w:customStyle="1">
    <w:name w:val="Абзац списку Знак"/>
    <w:link w:val="820"/>
    <w:uiPriority w:val="34"/>
    <w:qFormat/>
    <w:pPr>
      <w:pBdr/>
      <w:spacing/>
      <w:ind/>
    </w:pPr>
    <w:rPr>
      <w:rFonts w:ascii="Calibri" w:hAnsi="Calibri" w:eastAsia="Calibri" w:cs="Arial"/>
      <w:sz w:val="22"/>
      <w:szCs w:val="22"/>
      <w:lang w:val="ru-RU" w:eastAsia="en-US"/>
    </w:rPr>
  </w:style>
  <w:style w:type="character" w:styleId="839" w:customStyle="1">
    <w:name w:val="docdata"/>
    <w:pPr>
      <w:pBdr/>
      <w:spacing/>
      <w:ind/>
    </w:pPr>
  </w:style>
  <w:style w:type="paragraph" w:styleId="840">
    <w:name w:val="Subtitle"/>
    <w:basedOn w:val="778"/>
    <w:next w:val="778"/>
    <w:link w:val="841"/>
    <w:qFormat/>
    <w:pPr>
      <w:numPr>
        <w:ilvl w:val="1"/>
      </w:numPr>
      <w:pBdr/>
      <w:spacing w:after="160"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841" w:customStyle="1">
    <w:name w:val="Підзаголовок Знак"/>
    <w:basedOn w:val="780"/>
    <w:link w:val="840"/>
    <w:pPr>
      <w:pBdr/>
      <w:spacing/>
      <w:ind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ru-RU" w:eastAsia="ru-RU"/>
    </w:rPr>
  </w:style>
  <w:style w:type="character" w:styleId="842" w:customStyle="1">
    <w:name w:val="Основной текст_"/>
    <w:basedOn w:val="780"/>
    <w:link w:val="843"/>
    <w:pPr>
      <w:pBdr/>
      <w:spacing/>
      <w:ind/>
    </w:pPr>
    <w:rPr>
      <w:sz w:val="28"/>
      <w:szCs w:val="28"/>
    </w:rPr>
  </w:style>
  <w:style w:type="paragraph" w:styleId="843" w:customStyle="1">
    <w:name w:val="Основной текст1"/>
    <w:basedOn w:val="778"/>
    <w:link w:val="842"/>
    <w:pPr>
      <w:widowControl w:val="false"/>
      <w:pBdr/>
      <w:spacing/>
      <w:ind w:firstLine="400"/>
    </w:pPr>
    <w:rPr>
      <w:sz w:val="28"/>
      <w:szCs w:val="28"/>
      <w:lang w:val="uk-UA" w:eastAsia="uk-UA"/>
    </w:rPr>
  </w:style>
  <w:style w:type="character" w:styleId="844" w:customStyle="1">
    <w:name w:val="rvts0"/>
    <w:basedOn w:val="780"/>
    <w:pPr>
      <w:pBdr/>
      <w:spacing/>
      <w:ind/>
    </w:pPr>
  </w:style>
  <w:style w:type="paragraph" w:styleId="845" w:customStyle="1">
    <w:name w:val="Знак Знак Знак Знак1 Знак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46" w:customStyle="1">
    <w:name w:val="Знак Знак Знак Знак1 Знак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47" w:customStyle="1">
    <w:name w:val="Обычный (веб)1"/>
    <w:basedOn w:val="778"/>
    <w:uiPriority w:val="99"/>
    <w:unhideWhenUsed/>
    <w:pPr>
      <w:pBdr/>
      <w:spacing w:after="100" w:afterAutospacing="1" w:before="100" w:beforeAutospacing="1"/>
      <w:ind/>
    </w:pPr>
    <w:rPr>
      <w:lang w:val="uk-UA" w:eastAsia="uk-UA"/>
    </w:rPr>
  </w:style>
  <w:style w:type="paragraph" w:styleId="848" w:customStyle="1">
    <w:name w:val="Знак Знак Знак Знак1 Знак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49" w:customStyle="1">
    <w:name w:val="Знак Знак Знак Знак1 Знак Знак Знак Знак Знак Знак Знак Знак"/>
    <w:basedOn w:val="778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50" w:customStyle="1">
    <w:name w:val="Обычный + 13"/>
    <w:basedOn w:val="778"/>
    <w:pPr>
      <w:widowControl w:val="false"/>
      <w:pBdr/>
      <w:spacing/>
      <w:ind w:firstLine="720"/>
      <w:jc w:val="both"/>
    </w:pPr>
    <w:rPr>
      <w:sz w:val="27"/>
      <w:szCs w:val="27"/>
      <w:lang w:val="uk-U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Офіс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10707-E8CB-44D2-89AC-68A3B810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ПУБЛІЧНИЙ ЗВІТ</dc:title>
  <dc:subject/>
  <dc:creator>Admin</dc:creator>
  <cp:keywords/>
  <cp:lastModifiedBy>Сірик А. С. </cp:lastModifiedBy>
  <cp:revision>3</cp:revision>
  <dcterms:created xsi:type="dcterms:W3CDTF">2026-03-12T07:50:00Z</dcterms:created>
  <dcterms:modified xsi:type="dcterms:W3CDTF">2026-03-13T07:34:28Z</dcterms:modified>
</cp:coreProperties>
</file>